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77" w:rsidRDefault="00494F43" w:rsidP="00494F43">
      <w:pPr>
        <w:pStyle w:val="Heading1"/>
      </w:pPr>
      <w:r>
        <w:t>SEND Sufficiency Strategy</w:t>
      </w:r>
      <w:r w:rsidR="00956BEE">
        <w:t xml:space="preserve"> consultation </w:t>
      </w:r>
    </w:p>
    <w:p w:rsidR="00C372DC" w:rsidRPr="00DF52CA" w:rsidRDefault="003171B0" w:rsidP="00C372DC">
      <w:pPr>
        <w:rPr>
          <w:rFonts w:ascii="Arial" w:hAnsi="Arial" w:cs="Arial"/>
          <w:sz w:val="24"/>
          <w:szCs w:val="24"/>
        </w:rPr>
      </w:pPr>
      <w:r w:rsidRPr="00DF52CA">
        <w:rPr>
          <w:rFonts w:ascii="Arial" w:hAnsi="Arial" w:cs="Arial"/>
          <w:sz w:val="24"/>
          <w:szCs w:val="24"/>
        </w:rPr>
        <w:t>T</w:t>
      </w:r>
      <w:r w:rsidR="00C372DC" w:rsidRPr="00DF52CA">
        <w:rPr>
          <w:rFonts w:ascii="Arial" w:hAnsi="Arial" w:cs="Arial"/>
          <w:sz w:val="24"/>
          <w:szCs w:val="24"/>
        </w:rPr>
        <w:t>he SEND Sufficiency consultation took place between 6</w:t>
      </w:r>
      <w:r w:rsidR="00C372DC" w:rsidRPr="00DF52CA">
        <w:rPr>
          <w:rFonts w:ascii="Arial" w:hAnsi="Arial" w:cs="Arial"/>
          <w:sz w:val="24"/>
          <w:szCs w:val="24"/>
          <w:vertAlign w:val="superscript"/>
        </w:rPr>
        <w:t>th</w:t>
      </w:r>
      <w:r w:rsidR="00C372DC" w:rsidRPr="00DF52CA">
        <w:rPr>
          <w:rFonts w:ascii="Arial" w:hAnsi="Arial" w:cs="Arial"/>
          <w:sz w:val="24"/>
          <w:szCs w:val="24"/>
        </w:rPr>
        <w:t xml:space="preserve"> July and 18</w:t>
      </w:r>
      <w:r w:rsidR="00C372DC" w:rsidRPr="00DF52CA">
        <w:rPr>
          <w:rFonts w:ascii="Arial" w:hAnsi="Arial" w:cs="Arial"/>
          <w:sz w:val="24"/>
          <w:szCs w:val="24"/>
          <w:vertAlign w:val="superscript"/>
        </w:rPr>
        <w:t>th</w:t>
      </w:r>
      <w:r w:rsidR="00C372DC" w:rsidRPr="00DF52CA">
        <w:rPr>
          <w:rFonts w:ascii="Arial" w:hAnsi="Arial" w:cs="Arial"/>
          <w:sz w:val="24"/>
          <w:szCs w:val="24"/>
        </w:rPr>
        <w:t xml:space="preserve"> September 2020.</w:t>
      </w:r>
    </w:p>
    <w:p w:rsidR="00C372DC" w:rsidRPr="00DF52CA" w:rsidRDefault="00C372DC" w:rsidP="00C372DC">
      <w:pPr>
        <w:rPr>
          <w:rFonts w:ascii="Arial" w:hAnsi="Arial" w:cs="Arial"/>
          <w:sz w:val="24"/>
          <w:szCs w:val="24"/>
        </w:rPr>
      </w:pPr>
      <w:r w:rsidRPr="00DF52CA">
        <w:rPr>
          <w:rFonts w:ascii="Arial" w:hAnsi="Arial" w:cs="Arial"/>
          <w:sz w:val="24"/>
          <w:szCs w:val="24"/>
        </w:rPr>
        <w:t>The survey asked respondents:</w:t>
      </w:r>
    </w:p>
    <w:p w:rsidR="00C372DC" w:rsidRPr="00DF52CA" w:rsidRDefault="00C372DC" w:rsidP="00C372DC">
      <w:pPr>
        <w:pStyle w:val="ListParagraph"/>
        <w:numPr>
          <w:ilvl w:val="0"/>
          <w:numId w:val="1"/>
        </w:numPr>
        <w:rPr>
          <w:rFonts w:ascii="Arial" w:hAnsi="Arial" w:cs="Arial"/>
          <w:sz w:val="24"/>
          <w:szCs w:val="24"/>
        </w:rPr>
      </w:pPr>
      <w:r w:rsidRPr="00DF52CA">
        <w:rPr>
          <w:rFonts w:ascii="Arial" w:hAnsi="Arial" w:cs="Arial"/>
          <w:sz w:val="24"/>
          <w:szCs w:val="24"/>
        </w:rPr>
        <w:t>How strongly do you agree or disagree with the proposed SEND Sufficiency Strategy?</w:t>
      </w:r>
    </w:p>
    <w:p w:rsidR="00C372DC" w:rsidRPr="00DF52CA" w:rsidRDefault="00C372DC" w:rsidP="00C372DC">
      <w:pPr>
        <w:pStyle w:val="ListParagraph"/>
        <w:numPr>
          <w:ilvl w:val="0"/>
          <w:numId w:val="1"/>
        </w:numPr>
        <w:rPr>
          <w:rFonts w:ascii="Arial" w:hAnsi="Arial" w:cs="Arial"/>
          <w:sz w:val="24"/>
          <w:szCs w:val="24"/>
        </w:rPr>
      </w:pPr>
      <w:r w:rsidRPr="00DF52CA">
        <w:rPr>
          <w:rFonts w:ascii="Arial" w:hAnsi="Arial" w:cs="Arial"/>
          <w:sz w:val="24"/>
          <w:szCs w:val="24"/>
        </w:rPr>
        <w:t>Why did you say this?</w:t>
      </w:r>
    </w:p>
    <w:p w:rsidR="00C372DC" w:rsidRPr="00DF52CA" w:rsidRDefault="00C372DC" w:rsidP="00C372DC">
      <w:pPr>
        <w:pStyle w:val="ListParagraph"/>
        <w:numPr>
          <w:ilvl w:val="0"/>
          <w:numId w:val="1"/>
        </w:numPr>
        <w:rPr>
          <w:rFonts w:ascii="Arial" w:hAnsi="Arial" w:cs="Arial"/>
          <w:sz w:val="24"/>
          <w:szCs w:val="24"/>
        </w:rPr>
      </w:pPr>
      <w:r w:rsidRPr="00DF52CA">
        <w:rPr>
          <w:rFonts w:ascii="Arial" w:hAnsi="Arial" w:cs="Arial"/>
          <w:sz w:val="24"/>
          <w:szCs w:val="24"/>
        </w:rPr>
        <w:t>Do you have any suggestions to improve the strategy?</w:t>
      </w:r>
    </w:p>
    <w:p w:rsidR="00C372DC" w:rsidRPr="00DF52CA" w:rsidRDefault="00C372DC" w:rsidP="00C372DC">
      <w:pPr>
        <w:rPr>
          <w:rFonts w:ascii="Arial" w:hAnsi="Arial" w:cs="Arial"/>
          <w:sz w:val="24"/>
          <w:szCs w:val="24"/>
        </w:rPr>
      </w:pPr>
      <w:r w:rsidRPr="00DF52CA">
        <w:rPr>
          <w:rFonts w:ascii="Arial" w:hAnsi="Arial" w:cs="Arial"/>
          <w:sz w:val="24"/>
          <w:szCs w:val="24"/>
        </w:rPr>
        <w:t>Question 1 required respondents to select from the following options:</w:t>
      </w:r>
    </w:p>
    <w:p w:rsidR="00C372DC" w:rsidRPr="00DF52CA" w:rsidRDefault="00C372DC" w:rsidP="00412680">
      <w:pPr>
        <w:pStyle w:val="ListParagraph"/>
        <w:numPr>
          <w:ilvl w:val="0"/>
          <w:numId w:val="2"/>
        </w:numPr>
        <w:rPr>
          <w:rFonts w:ascii="Arial" w:hAnsi="Arial" w:cs="Arial"/>
          <w:sz w:val="24"/>
          <w:szCs w:val="24"/>
        </w:rPr>
      </w:pPr>
      <w:r w:rsidRPr="00DF52CA">
        <w:rPr>
          <w:rFonts w:ascii="Arial" w:hAnsi="Arial" w:cs="Arial"/>
          <w:sz w:val="24"/>
          <w:szCs w:val="24"/>
        </w:rPr>
        <w:t>Strongly agree</w:t>
      </w:r>
    </w:p>
    <w:p w:rsidR="00C372DC" w:rsidRPr="00DF52CA" w:rsidRDefault="00C372DC" w:rsidP="00412680">
      <w:pPr>
        <w:pStyle w:val="ListParagraph"/>
        <w:numPr>
          <w:ilvl w:val="0"/>
          <w:numId w:val="2"/>
        </w:numPr>
        <w:rPr>
          <w:rFonts w:ascii="Arial" w:hAnsi="Arial" w:cs="Arial"/>
          <w:sz w:val="24"/>
          <w:szCs w:val="24"/>
        </w:rPr>
      </w:pPr>
      <w:r w:rsidRPr="00DF52CA">
        <w:rPr>
          <w:rFonts w:ascii="Arial" w:hAnsi="Arial" w:cs="Arial"/>
          <w:sz w:val="24"/>
          <w:szCs w:val="24"/>
        </w:rPr>
        <w:t>Tend to agree</w:t>
      </w:r>
    </w:p>
    <w:p w:rsidR="00C372DC" w:rsidRPr="00DF52CA" w:rsidRDefault="00C372DC" w:rsidP="00412680">
      <w:pPr>
        <w:pStyle w:val="ListParagraph"/>
        <w:numPr>
          <w:ilvl w:val="0"/>
          <w:numId w:val="2"/>
        </w:numPr>
        <w:rPr>
          <w:rFonts w:ascii="Arial" w:hAnsi="Arial" w:cs="Arial"/>
          <w:sz w:val="24"/>
          <w:szCs w:val="24"/>
        </w:rPr>
      </w:pPr>
      <w:r w:rsidRPr="00DF52CA">
        <w:rPr>
          <w:rFonts w:ascii="Arial" w:hAnsi="Arial" w:cs="Arial"/>
          <w:sz w:val="24"/>
          <w:szCs w:val="24"/>
        </w:rPr>
        <w:t>Neither agree nor disagree</w:t>
      </w:r>
    </w:p>
    <w:p w:rsidR="00C372DC" w:rsidRPr="00DF52CA" w:rsidRDefault="00C372DC" w:rsidP="00412680">
      <w:pPr>
        <w:pStyle w:val="ListParagraph"/>
        <w:numPr>
          <w:ilvl w:val="0"/>
          <w:numId w:val="2"/>
        </w:numPr>
        <w:rPr>
          <w:rFonts w:ascii="Arial" w:hAnsi="Arial" w:cs="Arial"/>
          <w:sz w:val="24"/>
          <w:szCs w:val="24"/>
        </w:rPr>
      </w:pPr>
      <w:r w:rsidRPr="00DF52CA">
        <w:rPr>
          <w:rFonts w:ascii="Arial" w:hAnsi="Arial" w:cs="Arial"/>
          <w:sz w:val="24"/>
          <w:szCs w:val="24"/>
        </w:rPr>
        <w:t xml:space="preserve">Tend to disagree </w:t>
      </w:r>
    </w:p>
    <w:p w:rsidR="00C372DC" w:rsidRPr="00DF52CA" w:rsidRDefault="00C372DC" w:rsidP="00412680">
      <w:pPr>
        <w:pStyle w:val="ListParagraph"/>
        <w:numPr>
          <w:ilvl w:val="0"/>
          <w:numId w:val="2"/>
        </w:numPr>
        <w:rPr>
          <w:rFonts w:ascii="Arial" w:hAnsi="Arial" w:cs="Arial"/>
          <w:sz w:val="24"/>
          <w:szCs w:val="24"/>
        </w:rPr>
      </w:pPr>
      <w:r w:rsidRPr="00DF52CA">
        <w:rPr>
          <w:rFonts w:ascii="Arial" w:hAnsi="Arial" w:cs="Arial"/>
          <w:sz w:val="24"/>
          <w:szCs w:val="24"/>
        </w:rPr>
        <w:t>Strongly disagree</w:t>
      </w:r>
    </w:p>
    <w:p w:rsidR="00412680" w:rsidRPr="00DF52CA" w:rsidRDefault="00412680" w:rsidP="00412680">
      <w:pPr>
        <w:rPr>
          <w:rFonts w:ascii="Arial" w:hAnsi="Arial" w:cs="Arial"/>
          <w:sz w:val="24"/>
          <w:szCs w:val="24"/>
        </w:rPr>
      </w:pPr>
      <w:r w:rsidRPr="00DF52CA">
        <w:rPr>
          <w:rFonts w:ascii="Arial" w:hAnsi="Arial" w:cs="Arial"/>
          <w:sz w:val="24"/>
          <w:szCs w:val="24"/>
        </w:rPr>
        <w:t>Question 2 invited respondents to expand upon their response to question 1.</w:t>
      </w:r>
      <w:r w:rsidR="008F65DF" w:rsidRPr="00DF52CA">
        <w:rPr>
          <w:rFonts w:ascii="Arial" w:hAnsi="Arial" w:cs="Arial"/>
          <w:sz w:val="24"/>
          <w:szCs w:val="24"/>
        </w:rPr>
        <w:t xml:space="preserve"> Question 3 is self-explanatory.</w:t>
      </w:r>
    </w:p>
    <w:p w:rsidR="007B5070" w:rsidRDefault="007B5070" w:rsidP="008F65DF">
      <w:pPr>
        <w:pStyle w:val="Heading2"/>
      </w:pPr>
    </w:p>
    <w:p w:rsidR="008F65DF" w:rsidRDefault="008F65DF" w:rsidP="008F65DF">
      <w:pPr>
        <w:pStyle w:val="Heading2"/>
      </w:pPr>
      <w:r>
        <w:t>Consultation outcomes</w:t>
      </w:r>
    </w:p>
    <w:p w:rsidR="003171B0" w:rsidRPr="00DF52CA" w:rsidRDefault="003171B0" w:rsidP="00412680">
      <w:pPr>
        <w:rPr>
          <w:rFonts w:ascii="Arial" w:hAnsi="Arial" w:cs="Arial"/>
          <w:sz w:val="24"/>
          <w:szCs w:val="24"/>
        </w:rPr>
      </w:pPr>
      <w:r w:rsidRPr="00DF52CA">
        <w:rPr>
          <w:rFonts w:ascii="Arial" w:hAnsi="Arial" w:cs="Arial"/>
          <w:sz w:val="24"/>
          <w:szCs w:val="24"/>
        </w:rPr>
        <w:t xml:space="preserve">The online survey provided a total of 232 respondents. 55% of these respondents said there were children or young people within their household who had special educational needs, 40% said no children or young people within the household had special needs and 5% preferred not to say. The responses provided by some participants indicated they worked in schools or other educational settings. </w:t>
      </w:r>
      <w:r w:rsidR="007B5070" w:rsidRPr="00DF52CA">
        <w:rPr>
          <w:rFonts w:ascii="Arial" w:hAnsi="Arial" w:cs="Arial"/>
          <w:sz w:val="24"/>
          <w:szCs w:val="24"/>
        </w:rPr>
        <w:t>Information</w:t>
      </w:r>
      <w:r w:rsidRPr="00DF52CA">
        <w:rPr>
          <w:rFonts w:ascii="Arial" w:hAnsi="Arial" w:cs="Arial"/>
          <w:sz w:val="24"/>
          <w:szCs w:val="24"/>
        </w:rPr>
        <w:t xml:space="preserve"> identifying how many </w:t>
      </w:r>
      <w:r w:rsidR="007B5070" w:rsidRPr="00DF52CA">
        <w:rPr>
          <w:rFonts w:ascii="Arial" w:hAnsi="Arial" w:cs="Arial"/>
          <w:sz w:val="24"/>
          <w:szCs w:val="24"/>
        </w:rPr>
        <w:t>respondents were responding in their</w:t>
      </w:r>
      <w:r w:rsidRPr="00DF52CA">
        <w:rPr>
          <w:rFonts w:ascii="Arial" w:hAnsi="Arial" w:cs="Arial"/>
          <w:sz w:val="24"/>
          <w:szCs w:val="24"/>
        </w:rPr>
        <w:t xml:space="preserve"> professional capacity is not available.</w:t>
      </w:r>
    </w:p>
    <w:p w:rsidR="00412680" w:rsidRPr="00DF52CA" w:rsidRDefault="00412680" w:rsidP="00412680">
      <w:pPr>
        <w:rPr>
          <w:rFonts w:ascii="Arial" w:hAnsi="Arial" w:cs="Arial"/>
          <w:sz w:val="24"/>
          <w:szCs w:val="24"/>
        </w:rPr>
      </w:pPr>
      <w:r w:rsidRPr="00DF52CA">
        <w:rPr>
          <w:rFonts w:ascii="Arial" w:hAnsi="Arial" w:cs="Arial"/>
          <w:sz w:val="24"/>
          <w:szCs w:val="24"/>
        </w:rPr>
        <w:t>The results for</w:t>
      </w:r>
      <w:r w:rsidR="008F65DF" w:rsidRPr="00DF52CA">
        <w:rPr>
          <w:rFonts w:ascii="Arial" w:hAnsi="Arial" w:cs="Arial"/>
          <w:sz w:val="24"/>
          <w:szCs w:val="24"/>
        </w:rPr>
        <w:t xml:space="preserve"> question one, that is</w:t>
      </w:r>
      <w:r w:rsidRPr="00DF52CA">
        <w:rPr>
          <w:rFonts w:ascii="Arial" w:hAnsi="Arial" w:cs="Arial"/>
          <w:sz w:val="24"/>
          <w:szCs w:val="24"/>
        </w:rPr>
        <w:t xml:space="preserve"> how strongly respondents agreed or disagreed with the proposed SEND Sufficiency Strategy are presented below.</w:t>
      </w:r>
    </w:p>
    <w:p w:rsidR="00C372DC" w:rsidRPr="00DF52CA" w:rsidRDefault="00412680" w:rsidP="00C372DC">
      <w:pPr>
        <w:spacing w:after="201" w:line="265" w:lineRule="auto"/>
        <w:ind w:right="4545"/>
        <w:rPr>
          <w:rFonts w:ascii="Arial" w:hAnsi="Arial" w:cs="Arial"/>
          <w:sz w:val="24"/>
          <w:szCs w:val="24"/>
        </w:rPr>
      </w:pPr>
      <w:r w:rsidRPr="00DF52CA">
        <w:rPr>
          <w:rFonts w:ascii="Arial" w:eastAsia="Calibri" w:hAnsi="Arial" w:cs="Arial"/>
          <w:noProof/>
          <w:sz w:val="24"/>
          <w:szCs w:val="24"/>
          <w:lang w:eastAsia="en-GB"/>
        </w:rPr>
        <mc:AlternateContent>
          <mc:Choice Requires="wpg">
            <w:drawing>
              <wp:anchor distT="0" distB="0" distL="114300" distR="114300" simplePos="0" relativeHeight="251659264" behindDoc="0" locked="0" layoutInCell="1" allowOverlap="1" wp14:anchorId="072E44DF" wp14:editId="1514CFDE">
                <wp:simplePos x="0" y="0"/>
                <wp:positionH relativeFrom="margin">
                  <wp:posOffset>2436495</wp:posOffset>
                </wp:positionH>
                <wp:positionV relativeFrom="paragraph">
                  <wp:posOffset>3810</wp:posOffset>
                </wp:positionV>
                <wp:extent cx="1456690" cy="1532255"/>
                <wp:effectExtent l="0" t="0" r="0" b="0"/>
                <wp:wrapSquare wrapText="bothSides"/>
                <wp:docPr id="22887" name="Group 22887"/>
                <wp:cNvGraphicFramePr/>
                <a:graphic xmlns:a="http://schemas.openxmlformats.org/drawingml/2006/main">
                  <a:graphicData uri="http://schemas.microsoft.com/office/word/2010/wordprocessingGroup">
                    <wpg:wgp>
                      <wpg:cNvGrpSpPr/>
                      <wpg:grpSpPr>
                        <a:xfrm>
                          <a:off x="0" y="0"/>
                          <a:ext cx="1456690" cy="1532255"/>
                          <a:chOff x="0" y="0"/>
                          <a:chExt cx="1457070" cy="1532789"/>
                        </a:xfrm>
                      </wpg:grpSpPr>
                      <wps:wsp>
                        <wps:cNvPr id="29705" name="Shape 29705"/>
                        <wps:cNvSpPr/>
                        <wps:spPr>
                          <a:xfrm>
                            <a:off x="25552" y="1261669"/>
                            <a:ext cx="420637" cy="249987"/>
                          </a:xfrm>
                          <a:custGeom>
                            <a:avLst/>
                            <a:gdLst/>
                            <a:ahLst/>
                            <a:cxnLst/>
                            <a:rect l="0" t="0" r="0" b="0"/>
                            <a:pathLst>
                              <a:path w="420637" h="249987">
                                <a:moveTo>
                                  <a:pt x="0" y="0"/>
                                </a:moveTo>
                                <a:lnTo>
                                  <a:pt x="420637" y="0"/>
                                </a:lnTo>
                                <a:lnTo>
                                  <a:pt x="420637" y="249987"/>
                                </a:lnTo>
                                <a:lnTo>
                                  <a:pt x="0" y="249987"/>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29706" name="Shape 29706"/>
                        <wps:cNvSpPr/>
                        <wps:spPr>
                          <a:xfrm>
                            <a:off x="25552" y="959942"/>
                            <a:ext cx="451104" cy="240805"/>
                          </a:xfrm>
                          <a:custGeom>
                            <a:avLst/>
                            <a:gdLst/>
                            <a:ahLst/>
                            <a:cxnLst/>
                            <a:rect l="0" t="0" r="0" b="0"/>
                            <a:pathLst>
                              <a:path w="451104" h="240805">
                                <a:moveTo>
                                  <a:pt x="0" y="0"/>
                                </a:moveTo>
                                <a:lnTo>
                                  <a:pt x="451104" y="0"/>
                                </a:lnTo>
                                <a:lnTo>
                                  <a:pt x="451104" y="240805"/>
                                </a:lnTo>
                                <a:lnTo>
                                  <a:pt x="0" y="240805"/>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29707" name="Shape 29707"/>
                        <wps:cNvSpPr/>
                        <wps:spPr>
                          <a:xfrm>
                            <a:off x="25552" y="652069"/>
                            <a:ext cx="332232" cy="240805"/>
                          </a:xfrm>
                          <a:custGeom>
                            <a:avLst/>
                            <a:gdLst/>
                            <a:ahLst/>
                            <a:cxnLst/>
                            <a:rect l="0" t="0" r="0" b="0"/>
                            <a:pathLst>
                              <a:path w="332232" h="240805">
                                <a:moveTo>
                                  <a:pt x="0" y="0"/>
                                </a:moveTo>
                                <a:lnTo>
                                  <a:pt x="332232" y="0"/>
                                </a:lnTo>
                                <a:lnTo>
                                  <a:pt x="332232" y="240805"/>
                                </a:lnTo>
                                <a:lnTo>
                                  <a:pt x="0" y="240805"/>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29708" name="Shape 29708"/>
                        <wps:cNvSpPr/>
                        <wps:spPr>
                          <a:xfrm>
                            <a:off x="25552" y="341223"/>
                            <a:ext cx="1103363" cy="240754"/>
                          </a:xfrm>
                          <a:custGeom>
                            <a:avLst/>
                            <a:gdLst/>
                            <a:ahLst/>
                            <a:cxnLst/>
                            <a:rect l="0" t="0" r="0" b="0"/>
                            <a:pathLst>
                              <a:path w="1103363" h="240754">
                                <a:moveTo>
                                  <a:pt x="0" y="0"/>
                                </a:moveTo>
                                <a:lnTo>
                                  <a:pt x="1103363" y="0"/>
                                </a:lnTo>
                                <a:lnTo>
                                  <a:pt x="1103363" y="240754"/>
                                </a:lnTo>
                                <a:lnTo>
                                  <a:pt x="0" y="240754"/>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29709" name="Shape 29709"/>
                        <wps:cNvSpPr/>
                        <wps:spPr>
                          <a:xfrm>
                            <a:off x="25552" y="30315"/>
                            <a:ext cx="1146023" cy="249936"/>
                          </a:xfrm>
                          <a:custGeom>
                            <a:avLst/>
                            <a:gdLst/>
                            <a:ahLst/>
                            <a:cxnLst/>
                            <a:rect l="0" t="0" r="0" b="0"/>
                            <a:pathLst>
                              <a:path w="1146023" h="249936">
                                <a:moveTo>
                                  <a:pt x="0" y="0"/>
                                </a:moveTo>
                                <a:lnTo>
                                  <a:pt x="1146023" y="0"/>
                                </a:lnTo>
                                <a:lnTo>
                                  <a:pt x="1146023" y="249936"/>
                                </a:lnTo>
                                <a:lnTo>
                                  <a:pt x="0" y="249936"/>
                                </a:lnTo>
                                <a:lnTo>
                                  <a:pt x="0" y="0"/>
                                </a:lnTo>
                              </a:path>
                            </a:pathLst>
                          </a:custGeom>
                          <a:ln w="0" cap="flat">
                            <a:miter lim="127000"/>
                          </a:ln>
                        </wps:spPr>
                        <wps:style>
                          <a:lnRef idx="0">
                            <a:srgbClr val="000000">
                              <a:alpha val="0"/>
                            </a:srgbClr>
                          </a:lnRef>
                          <a:fillRef idx="1">
                            <a:srgbClr val="058AD1"/>
                          </a:fillRef>
                          <a:effectRef idx="0">
                            <a:scrgbClr r="0" g="0" b="0"/>
                          </a:effectRef>
                          <a:fontRef idx="none"/>
                        </wps:style>
                        <wps:bodyPr/>
                      </wps:wsp>
                      <wps:wsp>
                        <wps:cNvPr id="29710" name="Shape 29710"/>
                        <wps:cNvSpPr/>
                        <wps:spPr>
                          <a:xfrm>
                            <a:off x="0" y="0"/>
                            <a:ext cx="37960" cy="1532789"/>
                          </a:xfrm>
                          <a:custGeom>
                            <a:avLst/>
                            <a:gdLst/>
                            <a:ahLst/>
                            <a:cxnLst/>
                            <a:rect l="0" t="0" r="0" b="0"/>
                            <a:pathLst>
                              <a:path w="37960" h="1532789">
                                <a:moveTo>
                                  <a:pt x="0" y="0"/>
                                </a:moveTo>
                                <a:lnTo>
                                  <a:pt x="37960" y="0"/>
                                </a:lnTo>
                                <a:lnTo>
                                  <a:pt x="37960" y="1532789"/>
                                </a:lnTo>
                                <a:lnTo>
                                  <a:pt x="0" y="15327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98" name="Rectangle 22598"/>
                        <wps:cNvSpPr/>
                        <wps:spPr>
                          <a:xfrm>
                            <a:off x="1186820" y="100364"/>
                            <a:ext cx="198058" cy="167206"/>
                          </a:xfrm>
                          <a:prstGeom prst="rect">
                            <a:avLst/>
                          </a:prstGeom>
                          <a:ln>
                            <a:noFill/>
                          </a:ln>
                        </wps:spPr>
                        <wps:txbx>
                          <w:txbxContent>
                            <w:p w:rsidR="00C372DC" w:rsidRDefault="00C372DC" w:rsidP="00C372DC">
                              <w:r>
                                <w:rPr>
                                  <w:color w:val="595959"/>
                                  <w:sz w:val="21"/>
                                </w:rPr>
                                <w:t>33</w:t>
                              </w:r>
                            </w:p>
                          </w:txbxContent>
                        </wps:txbx>
                        <wps:bodyPr horzOverflow="overflow" vert="horz" lIns="0" tIns="0" rIns="0" bIns="0" rtlCol="0">
                          <a:noAutofit/>
                        </wps:bodyPr>
                      </wps:wsp>
                      <wps:wsp>
                        <wps:cNvPr id="22599" name="Rectangle 22599"/>
                        <wps:cNvSpPr/>
                        <wps:spPr>
                          <a:xfrm>
                            <a:off x="1336280" y="100364"/>
                            <a:ext cx="160651" cy="167206"/>
                          </a:xfrm>
                          <a:prstGeom prst="rect">
                            <a:avLst/>
                          </a:prstGeom>
                          <a:ln>
                            <a:noFill/>
                          </a:ln>
                        </wps:spPr>
                        <wps:txbx>
                          <w:txbxContent>
                            <w:p w:rsidR="00C372DC" w:rsidRDefault="00C372DC" w:rsidP="00C372DC">
                              <w:r>
                                <w:rPr>
                                  <w:color w:val="595959"/>
                                  <w:sz w:val="21"/>
                                </w:rPr>
                                <w:t>%</w:t>
                              </w:r>
                            </w:p>
                          </w:txbxContent>
                        </wps:txbx>
                        <wps:bodyPr horzOverflow="overflow" vert="horz" lIns="0" tIns="0" rIns="0" bIns="0" rtlCol="0">
                          <a:noAutofit/>
                        </wps:bodyPr>
                      </wps:wsp>
                      <wps:wsp>
                        <wps:cNvPr id="22604" name="Rectangle 22604"/>
                        <wps:cNvSpPr/>
                        <wps:spPr>
                          <a:xfrm>
                            <a:off x="497983" y="1020883"/>
                            <a:ext cx="201673" cy="167206"/>
                          </a:xfrm>
                          <a:prstGeom prst="rect">
                            <a:avLst/>
                          </a:prstGeom>
                          <a:ln>
                            <a:noFill/>
                          </a:ln>
                        </wps:spPr>
                        <wps:txbx>
                          <w:txbxContent>
                            <w:p w:rsidR="00C372DC" w:rsidRDefault="00C372DC" w:rsidP="00C372DC">
                              <w:r>
                                <w:rPr>
                                  <w:color w:val="595959"/>
                                  <w:sz w:val="21"/>
                                </w:rPr>
                                <w:t>13</w:t>
                              </w:r>
                            </w:p>
                          </w:txbxContent>
                        </wps:txbx>
                        <wps:bodyPr horzOverflow="overflow" vert="horz" lIns="0" tIns="0" rIns="0" bIns="0" rtlCol="0">
                          <a:noAutofit/>
                        </wps:bodyPr>
                      </wps:wsp>
                      <wps:wsp>
                        <wps:cNvPr id="22605" name="Rectangle 22605"/>
                        <wps:cNvSpPr/>
                        <wps:spPr>
                          <a:xfrm>
                            <a:off x="650160" y="1020883"/>
                            <a:ext cx="160652" cy="167206"/>
                          </a:xfrm>
                          <a:prstGeom prst="rect">
                            <a:avLst/>
                          </a:prstGeom>
                          <a:ln>
                            <a:noFill/>
                          </a:ln>
                        </wps:spPr>
                        <wps:txbx>
                          <w:txbxContent>
                            <w:p w:rsidR="00C372DC" w:rsidRDefault="00C372DC" w:rsidP="00C372DC">
                              <w:r>
                                <w:rPr>
                                  <w:color w:val="595959"/>
                                  <w:sz w:val="21"/>
                                </w:rPr>
                                <w:t>%</w:t>
                              </w:r>
                            </w:p>
                          </w:txbxContent>
                        </wps:txbx>
                        <wps:bodyPr horzOverflow="overflow" vert="horz" lIns="0" tIns="0" rIns="0" bIns="0" rtlCol="0">
                          <a:noAutofit/>
                        </wps:bodyPr>
                      </wps:wsp>
                      <wps:wsp>
                        <wps:cNvPr id="22600" name="Rectangle 22600"/>
                        <wps:cNvSpPr/>
                        <wps:spPr>
                          <a:xfrm>
                            <a:off x="1141126" y="402109"/>
                            <a:ext cx="201673" cy="167206"/>
                          </a:xfrm>
                          <a:prstGeom prst="rect">
                            <a:avLst/>
                          </a:prstGeom>
                          <a:ln>
                            <a:noFill/>
                          </a:ln>
                        </wps:spPr>
                        <wps:txbx>
                          <w:txbxContent>
                            <w:p w:rsidR="00C372DC" w:rsidRDefault="00C372DC" w:rsidP="00C372DC">
                              <w:r>
                                <w:rPr>
                                  <w:color w:val="595959"/>
                                  <w:sz w:val="21"/>
                                </w:rPr>
                                <w:t>32</w:t>
                              </w:r>
                            </w:p>
                          </w:txbxContent>
                        </wps:txbx>
                        <wps:bodyPr horzOverflow="overflow" vert="horz" lIns="0" tIns="0" rIns="0" bIns="0" rtlCol="0">
                          <a:noAutofit/>
                        </wps:bodyPr>
                      </wps:wsp>
                      <wps:wsp>
                        <wps:cNvPr id="22601" name="Rectangle 22601"/>
                        <wps:cNvSpPr/>
                        <wps:spPr>
                          <a:xfrm>
                            <a:off x="1290586" y="402109"/>
                            <a:ext cx="160652" cy="167206"/>
                          </a:xfrm>
                          <a:prstGeom prst="rect">
                            <a:avLst/>
                          </a:prstGeom>
                          <a:ln>
                            <a:noFill/>
                          </a:ln>
                        </wps:spPr>
                        <wps:txbx>
                          <w:txbxContent>
                            <w:p w:rsidR="00C372DC" w:rsidRDefault="00C372DC" w:rsidP="00C372DC">
                              <w:r>
                                <w:rPr>
                                  <w:color w:val="595959"/>
                                  <w:sz w:val="21"/>
                                </w:rPr>
                                <w:t>%</w:t>
                              </w:r>
                            </w:p>
                          </w:txbxContent>
                        </wps:txbx>
                        <wps:bodyPr horzOverflow="overflow" vert="horz" lIns="0" tIns="0" rIns="0" bIns="0" rtlCol="0">
                          <a:noAutofit/>
                        </wps:bodyPr>
                      </wps:wsp>
                      <wps:wsp>
                        <wps:cNvPr id="22602" name="Rectangle 22602"/>
                        <wps:cNvSpPr/>
                        <wps:spPr>
                          <a:xfrm>
                            <a:off x="376097" y="713020"/>
                            <a:ext cx="201673" cy="167206"/>
                          </a:xfrm>
                          <a:prstGeom prst="rect">
                            <a:avLst/>
                          </a:prstGeom>
                          <a:ln>
                            <a:noFill/>
                          </a:ln>
                        </wps:spPr>
                        <wps:txbx>
                          <w:txbxContent>
                            <w:p w:rsidR="00C372DC" w:rsidRDefault="00C372DC" w:rsidP="00C372DC">
                              <w:r>
                                <w:rPr>
                                  <w:color w:val="595959"/>
                                  <w:sz w:val="21"/>
                                </w:rPr>
                                <w:t>10</w:t>
                              </w:r>
                            </w:p>
                          </w:txbxContent>
                        </wps:txbx>
                        <wps:bodyPr horzOverflow="overflow" vert="horz" lIns="0" tIns="0" rIns="0" bIns="0" rtlCol="0">
                          <a:noAutofit/>
                        </wps:bodyPr>
                      </wps:wsp>
                      <wps:wsp>
                        <wps:cNvPr id="22603" name="Rectangle 22603"/>
                        <wps:cNvSpPr/>
                        <wps:spPr>
                          <a:xfrm>
                            <a:off x="528274" y="713020"/>
                            <a:ext cx="160652" cy="167206"/>
                          </a:xfrm>
                          <a:prstGeom prst="rect">
                            <a:avLst/>
                          </a:prstGeom>
                          <a:ln>
                            <a:noFill/>
                          </a:ln>
                        </wps:spPr>
                        <wps:txbx>
                          <w:txbxContent>
                            <w:p w:rsidR="00C372DC" w:rsidRDefault="00C372DC" w:rsidP="00C372DC">
                              <w:r>
                                <w:rPr>
                                  <w:color w:val="595959"/>
                                  <w:sz w:val="21"/>
                                </w:rPr>
                                <w:t>%</w:t>
                              </w:r>
                            </w:p>
                          </w:txbxContent>
                        </wps:txbx>
                        <wps:bodyPr horzOverflow="overflow" vert="horz" lIns="0" tIns="0" rIns="0" bIns="0" rtlCol="0">
                          <a:noAutofit/>
                        </wps:bodyPr>
                      </wps:wsp>
                      <wps:wsp>
                        <wps:cNvPr id="22606" name="Rectangle 22606"/>
                        <wps:cNvSpPr/>
                        <wps:spPr>
                          <a:xfrm>
                            <a:off x="467527" y="1322628"/>
                            <a:ext cx="201673" cy="167206"/>
                          </a:xfrm>
                          <a:prstGeom prst="rect">
                            <a:avLst/>
                          </a:prstGeom>
                          <a:ln>
                            <a:noFill/>
                          </a:ln>
                        </wps:spPr>
                        <wps:txbx>
                          <w:txbxContent>
                            <w:p w:rsidR="00C372DC" w:rsidRDefault="00C372DC" w:rsidP="00C372DC">
                              <w:r>
                                <w:rPr>
                                  <w:color w:val="595959"/>
                                  <w:sz w:val="21"/>
                                </w:rPr>
                                <w:t>12</w:t>
                              </w:r>
                            </w:p>
                          </w:txbxContent>
                        </wps:txbx>
                        <wps:bodyPr horzOverflow="overflow" vert="horz" lIns="0" tIns="0" rIns="0" bIns="0" rtlCol="0">
                          <a:noAutofit/>
                        </wps:bodyPr>
                      </wps:wsp>
                      <wps:wsp>
                        <wps:cNvPr id="22607" name="Rectangle 22607"/>
                        <wps:cNvSpPr/>
                        <wps:spPr>
                          <a:xfrm>
                            <a:off x="619704" y="1322628"/>
                            <a:ext cx="160652" cy="167206"/>
                          </a:xfrm>
                          <a:prstGeom prst="rect">
                            <a:avLst/>
                          </a:prstGeom>
                          <a:ln>
                            <a:noFill/>
                          </a:ln>
                        </wps:spPr>
                        <wps:txbx>
                          <w:txbxContent>
                            <w:p w:rsidR="00C372DC" w:rsidRDefault="00C372DC" w:rsidP="00C372DC">
                              <w:r>
                                <w:rPr>
                                  <w:color w:val="595959"/>
                                  <w:sz w:val="21"/>
                                </w:rPr>
                                <w:t>%</w:t>
                              </w:r>
                            </w:p>
                          </w:txbxContent>
                        </wps:txbx>
                        <wps:bodyPr horzOverflow="overflow" vert="horz" lIns="0" tIns="0" rIns="0" bIns="0" rtlCol="0">
                          <a:noAutofit/>
                        </wps:bodyPr>
                      </wps:wsp>
                    </wpg:wgp>
                  </a:graphicData>
                </a:graphic>
              </wp:anchor>
            </w:drawing>
          </mc:Choice>
          <mc:Fallback>
            <w:pict>
              <v:group w14:anchorId="072E44DF" id="Group 22887" o:spid="_x0000_s1026" style="position:absolute;margin-left:191.85pt;margin-top:.3pt;width:114.7pt;height:120.65pt;z-index:251659264;mso-position-horizontal-relative:margin" coordsize="14570,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">
                <v:shape id="Shape 29705" o:spid="_x0000_s1027" style="position:absolute;left:255;top:12616;width:4206;height:2500;visibility:visible;mso-wrap-style:square;v-text-anchor:top" coordsize="420637,24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" path="m,l420637,r,249987l,249987,,e" fillcolor="#058ad1" stroked="f" strokeweight="0">
                  <v:stroke miterlimit="83231f" joinstyle="miter"/>
                  <v:path arrowok="t" textboxrect="0,0,420637,249987"/>
                </v:shape>
                <v:shape id="Shape 29706" o:spid="_x0000_s1028" style="position:absolute;left:255;top:9599;width:4511;height:2408;visibility:visible;mso-wrap-style:square;v-text-anchor:top" coordsize="451104,2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" path="m,l451104,r,240805l,240805,,e" fillcolor="#058ad1" stroked="f" strokeweight="0">
                  <v:stroke miterlimit="83231f" joinstyle="miter"/>
                  <v:path arrowok="t" textboxrect="0,0,451104,240805"/>
                </v:shape>
                <v:shape id="Shape 29707" o:spid="_x0000_s1029" style="position:absolute;left:255;top:6520;width:3322;height:2408;visibility:visible;mso-wrap-style:square;v-text-anchor:top" coordsize="332232,2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" path="m,l332232,r,240805l,240805,,e" fillcolor="#058ad1" stroked="f" strokeweight="0">
                  <v:stroke miterlimit="83231f" joinstyle="miter"/>
                  <v:path arrowok="t" textboxrect="0,0,332232,240805"/>
                </v:shape>
                <v:shape id="Shape 29708" o:spid="_x0000_s1030" style="position:absolute;left:255;top:3412;width:11034;height:2407;visibility:visible;mso-wrap-style:square;v-text-anchor:top" coordsize="1103363,24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" path="m,l1103363,r,240754l,240754,,e" fillcolor="#058ad1" stroked="f" strokeweight="0">
                  <v:stroke miterlimit="83231f" joinstyle="miter"/>
                  <v:path arrowok="t" textboxrect="0,0,1103363,240754"/>
                </v:shape>
                <v:shape id="Shape 29709" o:spid="_x0000_s1031" style="position:absolute;left:255;top:303;width:11460;height:2499;visibility:visible;mso-wrap-style:square;v-text-anchor:top" coordsize="1146023,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" path="m,l1146023,r,249936l,249936,,e" fillcolor="#058ad1" stroked="f" strokeweight="0">
                  <v:stroke miterlimit="83231f" joinstyle="miter"/>
                  <v:path arrowok="t" textboxrect="0,0,1146023,249936"/>
                </v:shape>
                <v:shape id="Shape 29710" o:spid="_x0000_s1032" style="position:absolute;width:379;height:15327;visibility:visible;mso-wrap-style:square;v-text-anchor:top" coordsize="37960,153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" path="m,l37960,r,1532789l,1532789,,e" stroked="f" strokeweight="0">
                  <v:stroke miterlimit="83231f" joinstyle="miter"/>
                  <v:path arrowok="t" textboxrect="0,0,37960,1532789"/>
                </v:shape>
                <v:rect id="Rectangle 22598" o:spid="_x0000_s1033" style="position:absolute;left:11868;top:1003;width:1980;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" filled="f" stroked="f">
                  <v:textbox inset="0,0,0,0">
                    <w:txbxContent>
                      <w:p w:rsidR="00C372DC" w:rsidRDefault="00C372DC" w:rsidP="00C372DC">
                        <w:r>
                          <w:rPr>
                            <w:color w:val="595959"/>
                            <w:sz w:val="21"/>
                          </w:rPr>
                          <w:t>33</w:t>
                        </w:r>
                      </w:p>
                    </w:txbxContent>
                  </v:textbox>
                </v:rect>
                <v:rect id="Rectangle 22599" o:spid="_x0000_s1034" style="position:absolute;left:13362;top:1003;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" filled="f" stroked="f">
                  <v:textbox inset="0,0,0,0">
                    <w:txbxContent>
                      <w:p w:rsidR="00C372DC" w:rsidRDefault="00C372DC" w:rsidP="00C372DC">
                        <w:r>
                          <w:rPr>
                            <w:color w:val="595959"/>
                            <w:sz w:val="21"/>
                          </w:rPr>
                          <w:t>%</w:t>
                        </w:r>
                      </w:p>
                    </w:txbxContent>
                  </v:textbox>
                </v:rect>
                <v:rect id="Rectangle 22604" o:spid="_x0000_s1035" style="position:absolute;left:4979;top:10208;width:201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" filled="f" stroked="f">
                  <v:textbox inset="0,0,0,0">
                    <w:txbxContent>
                      <w:p w:rsidR="00C372DC" w:rsidRDefault="00C372DC" w:rsidP="00C372DC">
                        <w:r>
                          <w:rPr>
                            <w:color w:val="595959"/>
                            <w:sz w:val="21"/>
                          </w:rPr>
                          <w:t>13</w:t>
                        </w:r>
                      </w:p>
                    </w:txbxContent>
                  </v:textbox>
                </v:rect>
                <v:rect id="Rectangle 22605" o:spid="_x0000_s1036" style="position:absolute;left:6501;top:10208;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" filled="f" stroked="f">
                  <v:textbox inset="0,0,0,0">
                    <w:txbxContent>
                      <w:p w:rsidR="00C372DC" w:rsidRDefault="00C372DC" w:rsidP="00C372DC">
                        <w:r>
                          <w:rPr>
                            <w:color w:val="595959"/>
                            <w:sz w:val="21"/>
                          </w:rPr>
                          <w:t>%</w:t>
                        </w:r>
                      </w:p>
                    </w:txbxContent>
                  </v:textbox>
                </v:rect>
                <v:rect id="Rectangle 22600" o:spid="_x0000_s1037" style="position:absolute;left:11411;top:4021;width:2016;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" filled="f" stroked="f">
                  <v:textbox inset="0,0,0,0">
                    <w:txbxContent>
                      <w:p w:rsidR="00C372DC" w:rsidRDefault="00C372DC" w:rsidP="00C372DC">
                        <w:r>
                          <w:rPr>
                            <w:color w:val="595959"/>
                            <w:sz w:val="21"/>
                          </w:rPr>
                          <w:t>32</w:t>
                        </w:r>
                      </w:p>
                    </w:txbxContent>
                  </v:textbox>
                </v:rect>
                <v:rect id="Rectangle 22601" o:spid="_x0000_s1038" style="position:absolute;left:12905;top:4021;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" filled="f" stroked="f">
                  <v:textbox inset="0,0,0,0">
                    <w:txbxContent>
                      <w:p w:rsidR="00C372DC" w:rsidRDefault="00C372DC" w:rsidP="00C372DC">
                        <w:r>
                          <w:rPr>
                            <w:color w:val="595959"/>
                            <w:sz w:val="21"/>
                          </w:rPr>
                          <w:t>%</w:t>
                        </w:r>
                      </w:p>
                    </w:txbxContent>
                  </v:textbox>
                </v:rect>
                <v:rect id="Rectangle 22602" o:spid="_x0000_s1039" style="position:absolute;left:3760;top:7130;width:201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" filled="f" stroked="f">
                  <v:textbox inset="0,0,0,0">
                    <w:txbxContent>
                      <w:p w:rsidR="00C372DC" w:rsidRDefault="00C372DC" w:rsidP="00C372DC">
                        <w:r>
                          <w:rPr>
                            <w:color w:val="595959"/>
                            <w:sz w:val="21"/>
                          </w:rPr>
                          <w:t>10</w:t>
                        </w:r>
                      </w:p>
                    </w:txbxContent>
                  </v:textbox>
                </v:rect>
                <v:rect id="Rectangle 22603" o:spid="_x0000_s1040" style="position:absolute;left:5282;top:7130;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" filled="f" stroked="f">
                  <v:textbox inset="0,0,0,0">
                    <w:txbxContent>
                      <w:p w:rsidR="00C372DC" w:rsidRDefault="00C372DC" w:rsidP="00C372DC">
                        <w:r>
                          <w:rPr>
                            <w:color w:val="595959"/>
                            <w:sz w:val="21"/>
                          </w:rPr>
                          <w:t>%</w:t>
                        </w:r>
                      </w:p>
                    </w:txbxContent>
                  </v:textbox>
                </v:rect>
                <v:rect id="Rectangle 22606" o:spid="_x0000_s1041" style="position:absolute;left:4675;top:13226;width:201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" filled="f" stroked="f">
                  <v:textbox inset="0,0,0,0">
                    <w:txbxContent>
                      <w:p w:rsidR="00C372DC" w:rsidRDefault="00C372DC" w:rsidP="00C372DC">
                        <w:r>
                          <w:rPr>
                            <w:color w:val="595959"/>
                            <w:sz w:val="21"/>
                          </w:rPr>
                          <w:t>12</w:t>
                        </w:r>
                      </w:p>
                    </w:txbxContent>
                  </v:textbox>
                </v:rect>
                <v:rect id="Rectangle 22607" o:spid="_x0000_s1042" style="position:absolute;left:6197;top:13226;width:1606;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wg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ngUfcLvnXAF5PwNAAD//wMAUEsBAi0AFAAGAAgAAAAhANvh9svuAAAAhQEAABMAAAAAAAAA&#10;AAAAAAAAAAAAAFtDb250ZW50X1R5cGVzXS54bWxQSwECLQAUAAYACAAAACEAWvQsW78AAAAVAQAA&#10;CwAAAAAAAAAAAAAAAAAfAQAAX3JlbHMvLnJlbHNQSwECLQAUAAYACAAAACEADo6sIMYAAADeAAAA&#10;DwAAAAAAAAAAAAAAAAAHAgAAZHJzL2Rvd25yZXYueG1sUEsFBgAAAAADAAMAtwAAAPoCAAAAAA==&#10;" filled="f" stroked="f">
                  <v:textbox inset="0,0,0,0">
                    <w:txbxContent>
                      <w:p w:rsidR="00C372DC" w:rsidRDefault="00C372DC" w:rsidP="00C372DC">
                        <w:r>
                          <w:rPr>
                            <w:color w:val="595959"/>
                            <w:sz w:val="21"/>
                          </w:rPr>
                          <w:t>%</w:t>
                        </w:r>
                      </w:p>
                    </w:txbxContent>
                  </v:textbox>
                </v:rect>
                <w10:wrap type="square" anchorx="margin"/>
              </v:group>
            </w:pict>
          </mc:Fallback>
        </mc:AlternateContent>
      </w:r>
      <w:r w:rsidR="007B5070" w:rsidRPr="00DF52CA">
        <w:rPr>
          <w:rFonts w:ascii="Arial" w:hAnsi="Arial" w:cs="Arial"/>
          <w:sz w:val="24"/>
          <w:szCs w:val="24"/>
        </w:rPr>
        <w:t xml:space="preserve">Strongly agree </w:t>
      </w:r>
    </w:p>
    <w:p w:rsidR="00C372DC" w:rsidRPr="00DF52CA" w:rsidRDefault="007B5070" w:rsidP="00C372DC">
      <w:pPr>
        <w:spacing w:after="201" w:line="265" w:lineRule="auto"/>
        <w:ind w:right="4545"/>
        <w:rPr>
          <w:rFonts w:ascii="Arial" w:hAnsi="Arial" w:cs="Arial"/>
          <w:sz w:val="24"/>
          <w:szCs w:val="24"/>
        </w:rPr>
      </w:pPr>
      <w:r w:rsidRPr="00DF52CA">
        <w:rPr>
          <w:rFonts w:ascii="Arial" w:hAnsi="Arial" w:cs="Arial"/>
          <w:sz w:val="24"/>
          <w:szCs w:val="24"/>
        </w:rPr>
        <w:t>Tend to agree</w:t>
      </w:r>
    </w:p>
    <w:p w:rsidR="00C372DC" w:rsidRPr="00DF52CA" w:rsidRDefault="007B5070" w:rsidP="00C372DC">
      <w:pPr>
        <w:spacing w:after="201" w:line="265" w:lineRule="auto"/>
        <w:ind w:right="4545"/>
        <w:rPr>
          <w:rFonts w:ascii="Arial" w:hAnsi="Arial" w:cs="Arial"/>
          <w:sz w:val="24"/>
          <w:szCs w:val="24"/>
        </w:rPr>
      </w:pPr>
      <w:r w:rsidRPr="00DF52CA">
        <w:rPr>
          <w:rFonts w:ascii="Arial" w:hAnsi="Arial" w:cs="Arial"/>
          <w:sz w:val="24"/>
          <w:szCs w:val="24"/>
        </w:rPr>
        <w:t>Neither agree nor disagree</w:t>
      </w:r>
    </w:p>
    <w:p w:rsidR="00C372DC" w:rsidRPr="00DF52CA" w:rsidRDefault="007B5070" w:rsidP="00C372DC">
      <w:pPr>
        <w:spacing w:after="201" w:line="265" w:lineRule="auto"/>
        <w:ind w:right="4545"/>
        <w:rPr>
          <w:rFonts w:ascii="Arial" w:hAnsi="Arial" w:cs="Arial"/>
          <w:sz w:val="24"/>
          <w:szCs w:val="24"/>
        </w:rPr>
      </w:pPr>
      <w:r w:rsidRPr="00DF52CA">
        <w:rPr>
          <w:rFonts w:ascii="Arial" w:hAnsi="Arial" w:cs="Arial"/>
          <w:sz w:val="24"/>
          <w:szCs w:val="24"/>
        </w:rPr>
        <w:t>Tend to disagree</w:t>
      </w:r>
    </w:p>
    <w:p w:rsidR="00FF5F88" w:rsidRPr="00DF52CA" w:rsidRDefault="007B5070" w:rsidP="00FF5F88">
      <w:pPr>
        <w:spacing w:after="0" w:line="264" w:lineRule="auto"/>
        <w:ind w:right="4547"/>
        <w:rPr>
          <w:rFonts w:ascii="Arial" w:hAnsi="Arial" w:cs="Arial"/>
          <w:sz w:val="24"/>
          <w:szCs w:val="24"/>
        </w:rPr>
      </w:pPr>
      <w:r w:rsidRPr="00DF52CA">
        <w:rPr>
          <w:rFonts w:ascii="Arial" w:hAnsi="Arial" w:cs="Arial"/>
          <w:sz w:val="24"/>
          <w:szCs w:val="24"/>
        </w:rPr>
        <w:t>Strongly disagree</w:t>
      </w:r>
    </w:p>
    <w:p w:rsidR="00FF5F88" w:rsidRDefault="00FF5F88" w:rsidP="00FF5F88">
      <w:pPr>
        <w:tabs>
          <w:tab w:val="left" w:pos="4395"/>
        </w:tabs>
        <w:spacing w:after="0" w:line="264" w:lineRule="auto"/>
        <w:ind w:right="4547"/>
        <w:rPr>
          <w:sz w:val="23"/>
        </w:rPr>
      </w:pPr>
    </w:p>
    <w:p w:rsidR="00412680" w:rsidRPr="00DF52CA" w:rsidRDefault="00FF5F88" w:rsidP="008F65DF">
      <w:pPr>
        <w:tabs>
          <w:tab w:val="left" w:pos="0"/>
        </w:tabs>
        <w:spacing w:after="120" w:line="264" w:lineRule="auto"/>
        <w:ind w:right="96"/>
        <w:rPr>
          <w:rFonts w:ascii="Arial" w:hAnsi="Arial" w:cs="Arial"/>
          <w:sz w:val="24"/>
          <w:szCs w:val="24"/>
        </w:rPr>
      </w:pPr>
      <w:r w:rsidRPr="00DF52CA">
        <w:rPr>
          <w:rFonts w:ascii="Arial" w:hAnsi="Arial" w:cs="Arial"/>
          <w:sz w:val="24"/>
          <w:szCs w:val="24"/>
        </w:rPr>
        <w:t xml:space="preserve">A total of 188 respondents provided additional </w:t>
      </w:r>
      <w:r w:rsidR="00412680" w:rsidRPr="00DF52CA">
        <w:rPr>
          <w:rFonts w:ascii="Arial" w:hAnsi="Arial" w:cs="Arial"/>
          <w:sz w:val="24"/>
          <w:szCs w:val="24"/>
        </w:rPr>
        <w:t>comments</w:t>
      </w:r>
      <w:r w:rsidRPr="00DF52CA">
        <w:rPr>
          <w:rFonts w:ascii="Arial" w:hAnsi="Arial" w:cs="Arial"/>
          <w:sz w:val="24"/>
          <w:szCs w:val="24"/>
        </w:rPr>
        <w:t xml:space="preserve"> in response to the second question</w:t>
      </w:r>
      <w:r w:rsidR="008F65DF" w:rsidRPr="00DF52CA">
        <w:rPr>
          <w:rFonts w:ascii="Arial" w:hAnsi="Arial" w:cs="Arial"/>
          <w:sz w:val="24"/>
          <w:szCs w:val="24"/>
        </w:rPr>
        <w:t>.</w:t>
      </w:r>
      <w:r w:rsidRPr="00DF52CA">
        <w:rPr>
          <w:rFonts w:ascii="Arial" w:hAnsi="Arial" w:cs="Arial"/>
          <w:sz w:val="24"/>
          <w:szCs w:val="24"/>
        </w:rPr>
        <w:t xml:space="preserve"> 120 of these were from respondents who agreed with the strategy, 52 from those who did not </w:t>
      </w:r>
      <w:r w:rsidR="008F65DF" w:rsidRPr="00DF52CA">
        <w:rPr>
          <w:rFonts w:ascii="Arial" w:hAnsi="Arial" w:cs="Arial"/>
          <w:sz w:val="24"/>
          <w:szCs w:val="24"/>
        </w:rPr>
        <w:t xml:space="preserve">agree with the proposed strategy </w:t>
      </w:r>
      <w:r w:rsidRPr="00DF52CA">
        <w:rPr>
          <w:rFonts w:ascii="Arial" w:hAnsi="Arial" w:cs="Arial"/>
          <w:sz w:val="24"/>
          <w:szCs w:val="24"/>
        </w:rPr>
        <w:t>and 16 from those who neither agreed nor disagreed.</w:t>
      </w:r>
    </w:p>
    <w:p w:rsidR="008F65DF" w:rsidRPr="00DF52CA" w:rsidRDefault="008F65DF" w:rsidP="008F65DF">
      <w:pPr>
        <w:tabs>
          <w:tab w:val="left" w:pos="0"/>
        </w:tabs>
        <w:spacing w:after="120" w:line="264" w:lineRule="auto"/>
        <w:ind w:right="96"/>
        <w:rPr>
          <w:rFonts w:ascii="Arial" w:hAnsi="Arial" w:cs="Arial"/>
          <w:sz w:val="24"/>
          <w:szCs w:val="24"/>
        </w:rPr>
      </w:pPr>
      <w:r w:rsidRPr="00DF52CA">
        <w:rPr>
          <w:rFonts w:ascii="Arial" w:hAnsi="Arial" w:cs="Arial"/>
          <w:sz w:val="24"/>
          <w:szCs w:val="24"/>
        </w:rPr>
        <w:lastRenderedPageBreak/>
        <w:t xml:space="preserve">167 respondents made suggestions about how to improve the strategy. 95 of these agreed with the proposed strategy, 55 did not agree with the proposed strategy and 17 neither agreed nor disagreed. </w:t>
      </w:r>
    </w:p>
    <w:p w:rsidR="00FF5F88" w:rsidRPr="00DF52CA" w:rsidRDefault="008F65DF" w:rsidP="008F65DF">
      <w:pPr>
        <w:tabs>
          <w:tab w:val="left" w:pos="0"/>
        </w:tabs>
        <w:spacing w:after="120" w:line="264" w:lineRule="auto"/>
        <w:ind w:right="96"/>
        <w:rPr>
          <w:rFonts w:ascii="Arial" w:hAnsi="Arial" w:cs="Arial"/>
          <w:sz w:val="24"/>
          <w:szCs w:val="24"/>
        </w:rPr>
      </w:pPr>
      <w:r w:rsidRPr="00DF52CA">
        <w:rPr>
          <w:rFonts w:ascii="Arial" w:hAnsi="Arial" w:cs="Arial"/>
          <w:sz w:val="24"/>
          <w:szCs w:val="24"/>
        </w:rPr>
        <w:t>An overview of the themes identified to both invitations for more information for all three groups is provided below.</w:t>
      </w:r>
    </w:p>
    <w:p w:rsidR="006341F7" w:rsidRDefault="00F57BF5" w:rsidP="00494F43">
      <w:pPr>
        <w:pStyle w:val="Heading2"/>
      </w:pPr>
      <w:r>
        <w:t>Strongly agree/tend to agree</w:t>
      </w:r>
    </w:p>
    <w:p w:rsidR="003171B0" w:rsidRPr="00DF52CA" w:rsidRDefault="008F65DF" w:rsidP="003171B0">
      <w:pPr>
        <w:rPr>
          <w:rFonts w:ascii="Arial" w:hAnsi="Arial" w:cs="Arial"/>
          <w:sz w:val="24"/>
          <w:szCs w:val="24"/>
        </w:rPr>
      </w:pPr>
      <w:r w:rsidRPr="00DF52CA">
        <w:rPr>
          <w:rFonts w:ascii="Arial" w:hAnsi="Arial" w:cs="Arial"/>
          <w:sz w:val="24"/>
          <w:szCs w:val="24"/>
        </w:rPr>
        <w:t xml:space="preserve">As can be seen above </w:t>
      </w:r>
      <w:r w:rsidR="00F57BF5" w:rsidRPr="00DF52CA">
        <w:rPr>
          <w:rFonts w:ascii="Arial" w:hAnsi="Arial" w:cs="Arial"/>
          <w:sz w:val="24"/>
          <w:szCs w:val="24"/>
        </w:rPr>
        <w:t>65% of respondents indicated they were in favour of the SEND Sufficiency Strategy. Almost all of those in favour of the strategy said this was because they believed there were insufficient special school places for pupils with special educational needs in Lancash</w:t>
      </w:r>
      <w:r w:rsidR="003171B0" w:rsidRPr="00DF52CA">
        <w:rPr>
          <w:rFonts w:ascii="Arial" w:hAnsi="Arial" w:cs="Arial"/>
          <w:sz w:val="24"/>
          <w:szCs w:val="24"/>
        </w:rPr>
        <w:t>ire. Approximately one third of respondents made particular reference to the benefits of creating special educational needs units attached to both primary and secondary mainstream schools.</w:t>
      </w:r>
    </w:p>
    <w:p w:rsidR="002D6C0C" w:rsidRPr="00DF52CA" w:rsidRDefault="002D6C0C">
      <w:pPr>
        <w:rPr>
          <w:rFonts w:ascii="Arial" w:hAnsi="Arial" w:cs="Arial"/>
          <w:sz w:val="24"/>
          <w:szCs w:val="24"/>
        </w:rPr>
      </w:pPr>
      <w:r w:rsidRPr="00DF52CA">
        <w:rPr>
          <w:rFonts w:ascii="Arial" w:hAnsi="Arial" w:cs="Arial"/>
          <w:sz w:val="24"/>
          <w:szCs w:val="24"/>
        </w:rPr>
        <w:t>Some respondents</w:t>
      </w:r>
      <w:r w:rsidR="003171B0" w:rsidRPr="00DF52CA">
        <w:rPr>
          <w:rFonts w:ascii="Arial" w:hAnsi="Arial" w:cs="Arial"/>
          <w:sz w:val="24"/>
          <w:szCs w:val="24"/>
        </w:rPr>
        <w:t>,</w:t>
      </w:r>
      <w:r w:rsidRPr="00DF52CA">
        <w:rPr>
          <w:rFonts w:ascii="Arial" w:hAnsi="Arial" w:cs="Arial"/>
          <w:sz w:val="24"/>
          <w:szCs w:val="24"/>
        </w:rPr>
        <w:t xml:space="preserve"> </w:t>
      </w:r>
      <w:r w:rsidR="002F7191" w:rsidRPr="00DF52CA">
        <w:rPr>
          <w:rFonts w:ascii="Arial" w:hAnsi="Arial" w:cs="Arial"/>
          <w:sz w:val="24"/>
          <w:szCs w:val="24"/>
        </w:rPr>
        <w:t>even though they were in favour of the overall strategy</w:t>
      </w:r>
      <w:r w:rsidR="003171B0" w:rsidRPr="00DF52CA">
        <w:rPr>
          <w:rFonts w:ascii="Arial" w:hAnsi="Arial" w:cs="Arial"/>
          <w:sz w:val="24"/>
          <w:szCs w:val="24"/>
        </w:rPr>
        <w:t>,</w:t>
      </w:r>
      <w:r w:rsidR="002F7191" w:rsidRPr="00DF52CA">
        <w:rPr>
          <w:rFonts w:ascii="Arial" w:hAnsi="Arial" w:cs="Arial"/>
          <w:sz w:val="24"/>
          <w:szCs w:val="24"/>
        </w:rPr>
        <w:t xml:space="preserve"> suggested that more attention could have been given to particular aspects of </w:t>
      </w:r>
      <w:r w:rsidR="003171B0" w:rsidRPr="00DF52CA">
        <w:rPr>
          <w:rFonts w:ascii="Arial" w:hAnsi="Arial" w:cs="Arial"/>
          <w:sz w:val="24"/>
          <w:szCs w:val="24"/>
        </w:rPr>
        <w:t xml:space="preserve">the </w:t>
      </w:r>
      <w:r w:rsidR="002F7191" w:rsidRPr="00DF52CA">
        <w:rPr>
          <w:rFonts w:ascii="Arial" w:hAnsi="Arial" w:cs="Arial"/>
          <w:sz w:val="24"/>
          <w:szCs w:val="24"/>
        </w:rPr>
        <w:t>special educational needs provision</w:t>
      </w:r>
      <w:r w:rsidR="003171B0" w:rsidRPr="00DF52CA">
        <w:rPr>
          <w:rFonts w:ascii="Arial" w:hAnsi="Arial" w:cs="Arial"/>
          <w:sz w:val="24"/>
          <w:szCs w:val="24"/>
        </w:rPr>
        <w:t xml:space="preserve"> </w:t>
      </w:r>
      <w:r w:rsidR="007B5070" w:rsidRPr="00DF52CA">
        <w:rPr>
          <w:rFonts w:ascii="Arial" w:hAnsi="Arial" w:cs="Arial"/>
          <w:sz w:val="24"/>
          <w:szCs w:val="24"/>
        </w:rPr>
        <w:t>to</w:t>
      </w:r>
      <w:r w:rsidR="003171B0" w:rsidRPr="00DF52CA">
        <w:rPr>
          <w:rFonts w:ascii="Arial" w:hAnsi="Arial" w:cs="Arial"/>
          <w:sz w:val="24"/>
          <w:szCs w:val="24"/>
        </w:rPr>
        <w:t xml:space="preserve"> be made available in the future</w:t>
      </w:r>
      <w:r w:rsidR="002F7191" w:rsidRPr="00DF52CA">
        <w:rPr>
          <w:rFonts w:ascii="Arial" w:hAnsi="Arial" w:cs="Arial"/>
          <w:sz w:val="24"/>
          <w:szCs w:val="24"/>
        </w:rPr>
        <w:t>. This included for example more specia</w:t>
      </w:r>
      <w:r w:rsidR="003171B0" w:rsidRPr="00DF52CA">
        <w:rPr>
          <w:rFonts w:ascii="Arial" w:hAnsi="Arial" w:cs="Arial"/>
          <w:sz w:val="24"/>
          <w:szCs w:val="24"/>
        </w:rPr>
        <w:t xml:space="preserve">list provision for primary age </w:t>
      </w:r>
      <w:r w:rsidR="002F7191" w:rsidRPr="00DF52CA">
        <w:rPr>
          <w:rFonts w:ascii="Arial" w:hAnsi="Arial" w:cs="Arial"/>
          <w:sz w:val="24"/>
          <w:szCs w:val="24"/>
        </w:rPr>
        <w:t>pupils and in particular geographical areas, most notably in</w:t>
      </w:r>
      <w:r w:rsidR="003171B0" w:rsidRPr="00DF52CA">
        <w:rPr>
          <w:rFonts w:ascii="Arial" w:hAnsi="Arial" w:cs="Arial"/>
          <w:sz w:val="24"/>
          <w:szCs w:val="24"/>
        </w:rPr>
        <w:t xml:space="preserve"> West Lancashire in</w:t>
      </w:r>
      <w:r w:rsidR="002F7191" w:rsidRPr="00DF52CA">
        <w:rPr>
          <w:rFonts w:ascii="Arial" w:hAnsi="Arial" w:cs="Arial"/>
          <w:sz w:val="24"/>
          <w:szCs w:val="24"/>
        </w:rPr>
        <w:t xml:space="preserve"> the south of the county. </w:t>
      </w:r>
      <w:r w:rsidR="00CD5377" w:rsidRPr="00DF52CA">
        <w:rPr>
          <w:rFonts w:ascii="Arial" w:hAnsi="Arial" w:cs="Arial"/>
          <w:sz w:val="24"/>
          <w:szCs w:val="24"/>
        </w:rPr>
        <w:t xml:space="preserve">Some respondents commented the strategy failed to address a shortfall in special educational provision for pupils entering further education or with particular types of needs </w:t>
      </w:r>
      <w:r w:rsidR="003171B0" w:rsidRPr="00DF52CA">
        <w:rPr>
          <w:rFonts w:ascii="Arial" w:hAnsi="Arial" w:cs="Arial"/>
          <w:sz w:val="24"/>
          <w:szCs w:val="24"/>
        </w:rPr>
        <w:t xml:space="preserve">including </w:t>
      </w:r>
      <w:r w:rsidR="00CD5377" w:rsidRPr="00DF52CA">
        <w:rPr>
          <w:rFonts w:ascii="Arial" w:hAnsi="Arial" w:cs="Arial"/>
          <w:sz w:val="24"/>
          <w:szCs w:val="24"/>
        </w:rPr>
        <w:t>those with</w:t>
      </w:r>
      <w:r w:rsidR="00FD6A56" w:rsidRPr="00DF52CA">
        <w:rPr>
          <w:rFonts w:ascii="Arial" w:hAnsi="Arial" w:cs="Arial"/>
          <w:sz w:val="24"/>
          <w:szCs w:val="24"/>
        </w:rPr>
        <w:t xml:space="preserve"> an</w:t>
      </w:r>
      <w:r w:rsidR="003171B0" w:rsidRPr="00DF52CA">
        <w:rPr>
          <w:rFonts w:ascii="Arial" w:hAnsi="Arial" w:cs="Arial"/>
          <w:sz w:val="24"/>
          <w:szCs w:val="24"/>
        </w:rPr>
        <w:t xml:space="preserve"> autism</w:t>
      </w:r>
      <w:r w:rsidR="00FD6A56" w:rsidRPr="00DF52CA">
        <w:rPr>
          <w:rFonts w:ascii="Arial" w:hAnsi="Arial" w:cs="Arial"/>
          <w:sz w:val="24"/>
          <w:szCs w:val="24"/>
        </w:rPr>
        <w:t xml:space="preserve"> spectrum disorder</w:t>
      </w:r>
      <w:r w:rsidR="00CD5377" w:rsidRPr="00DF52CA">
        <w:rPr>
          <w:rFonts w:ascii="Arial" w:hAnsi="Arial" w:cs="Arial"/>
          <w:sz w:val="24"/>
          <w:szCs w:val="24"/>
        </w:rPr>
        <w:t xml:space="preserve">, mental health needs and/or those considered to be academically able. Others focussed more on the needs of their individual children or the schools they worked at.  </w:t>
      </w:r>
      <w:r w:rsidR="00927ED7" w:rsidRPr="00DF52CA">
        <w:rPr>
          <w:rFonts w:ascii="Arial" w:hAnsi="Arial" w:cs="Arial"/>
          <w:sz w:val="24"/>
          <w:szCs w:val="24"/>
        </w:rPr>
        <w:t xml:space="preserve">These comments were quite varied and </w:t>
      </w:r>
      <w:r w:rsidR="007B5070" w:rsidRPr="00DF52CA">
        <w:rPr>
          <w:rFonts w:ascii="Arial" w:hAnsi="Arial" w:cs="Arial"/>
          <w:sz w:val="24"/>
          <w:szCs w:val="24"/>
        </w:rPr>
        <w:t>each of the above themes</w:t>
      </w:r>
      <w:r w:rsidR="00927ED7" w:rsidRPr="00DF52CA">
        <w:rPr>
          <w:rFonts w:ascii="Arial" w:hAnsi="Arial" w:cs="Arial"/>
          <w:sz w:val="24"/>
          <w:szCs w:val="24"/>
        </w:rPr>
        <w:t xml:space="preserve"> appeared in a very limited number of responses. The</w:t>
      </w:r>
      <w:r w:rsidR="00CD5377" w:rsidRPr="00DF52CA">
        <w:rPr>
          <w:rFonts w:ascii="Arial" w:hAnsi="Arial" w:cs="Arial"/>
          <w:sz w:val="24"/>
          <w:szCs w:val="24"/>
        </w:rPr>
        <w:t xml:space="preserve"> relocation of Broadfield</w:t>
      </w:r>
      <w:r w:rsidR="00927ED7" w:rsidRPr="00DF52CA">
        <w:rPr>
          <w:rFonts w:ascii="Arial" w:hAnsi="Arial" w:cs="Arial"/>
          <w:sz w:val="24"/>
          <w:szCs w:val="24"/>
        </w:rPr>
        <w:t xml:space="preserve"> Specialist School featured slightly more often</w:t>
      </w:r>
      <w:r w:rsidR="00FD6A56" w:rsidRPr="00DF52CA">
        <w:rPr>
          <w:rFonts w:ascii="Arial" w:hAnsi="Arial" w:cs="Arial"/>
          <w:sz w:val="24"/>
          <w:szCs w:val="24"/>
        </w:rPr>
        <w:t xml:space="preserve"> although the </w:t>
      </w:r>
      <w:r w:rsidR="007B5070" w:rsidRPr="00DF52CA">
        <w:rPr>
          <w:rFonts w:ascii="Arial" w:hAnsi="Arial" w:cs="Arial"/>
          <w:sz w:val="24"/>
          <w:szCs w:val="24"/>
        </w:rPr>
        <w:t>numbers were still quite low. A</w:t>
      </w:r>
      <w:r w:rsidR="00927ED7" w:rsidRPr="00DF52CA">
        <w:rPr>
          <w:rFonts w:ascii="Arial" w:hAnsi="Arial" w:cs="Arial"/>
          <w:sz w:val="24"/>
          <w:szCs w:val="24"/>
        </w:rPr>
        <w:t>gain these</w:t>
      </w:r>
      <w:r w:rsidR="00FD6A56" w:rsidRPr="00DF52CA">
        <w:rPr>
          <w:rFonts w:ascii="Arial" w:hAnsi="Arial" w:cs="Arial"/>
          <w:sz w:val="24"/>
          <w:szCs w:val="24"/>
        </w:rPr>
        <w:t xml:space="preserve"> responses were mixed, </w:t>
      </w:r>
      <w:r w:rsidR="00CD5377" w:rsidRPr="00DF52CA">
        <w:rPr>
          <w:rFonts w:ascii="Arial" w:hAnsi="Arial" w:cs="Arial"/>
          <w:sz w:val="24"/>
          <w:szCs w:val="24"/>
        </w:rPr>
        <w:t xml:space="preserve">although most were in favour </w:t>
      </w:r>
      <w:r w:rsidR="00494F43" w:rsidRPr="00DF52CA">
        <w:rPr>
          <w:rFonts w:ascii="Arial" w:hAnsi="Arial" w:cs="Arial"/>
          <w:sz w:val="24"/>
          <w:szCs w:val="24"/>
        </w:rPr>
        <w:t xml:space="preserve">of the move. </w:t>
      </w:r>
    </w:p>
    <w:p w:rsidR="00E65BB2" w:rsidRPr="00DF52CA" w:rsidRDefault="002039CE">
      <w:pPr>
        <w:rPr>
          <w:rFonts w:ascii="Arial" w:hAnsi="Arial" w:cs="Arial"/>
          <w:sz w:val="24"/>
          <w:szCs w:val="24"/>
        </w:rPr>
      </w:pPr>
      <w:r w:rsidRPr="00DF52CA">
        <w:rPr>
          <w:rFonts w:ascii="Arial" w:hAnsi="Arial" w:cs="Arial"/>
          <w:sz w:val="24"/>
          <w:szCs w:val="24"/>
        </w:rPr>
        <w:t xml:space="preserve">Suggestions from this group of respondents about how to improve the strategy included a further increase in both the number of special school places and the number of special educational needs units attached to mainstream schools. Again for the main part there was a broad range of suggestions with only a limited number of proponents for each.  There were some exceptions to this. Training for school staff, particularly for mainstream schools, was a suggestion that appeared most frequently in the comments provided. </w:t>
      </w:r>
      <w:r w:rsidR="00174096" w:rsidRPr="00DF52CA">
        <w:rPr>
          <w:rFonts w:ascii="Arial" w:hAnsi="Arial" w:cs="Arial"/>
          <w:sz w:val="24"/>
          <w:szCs w:val="24"/>
        </w:rPr>
        <w:t xml:space="preserve">Other ideas that were put forward by more than a handful of respondents included a review of funding arrangements, more emphasis on early identification and intervention, better communication with families and improved links between different phases and sectors in education. </w:t>
      </w:r>
      <w:r w:rsidR="00BC4121" w:rsidRPr="00DF52CA">
        <w:rPr>
          <w:rFonts w:ascii="Arial" w:hAnsi="Arial" w:cs="Arial"/>
          <w:sz w:val="24"/>
          <w:szCs w:val="24"/>
        </w:rPr>
        <w:t xml:space="preserve"> This feedback that will be used to support the further development of local authority services. </w:t>
      </w:r>
    </w:p>
    <w:p w:rsidR="00A7718E" w:rsidRDefault="00A7718E" w:rsidP="00627427">
      <w:pPr>
        <w:pStyle w:val="Heading2"/>
      </w:pPr>
    </w:p>
    <w:p w:rsidR="00627427" w:rsidRDefault="00627427" w:rsidP="00627427">
      <w:pPr>
        <w:pStyle w:val="Heading2"/>
      </w:pPr>
      <w:r>
        <w:t>Strongly disagree/tend to disagree</w:t>
      </w:r>
    </w:p>
    <w:p w:rsidR="00627427" w:rsidRPr="00DF52CA" w:rsidRDefault="00627427" w:rsidP="00627427">
      <w:pPr>
        <w:rPr>
          <w:rFonts w:ascii="Arial" w:hAnsi="Arial" w:cs="Arial"/>
          <w:sz w:val="24"/>
          <w:szCs w:val="24"/>
        </w:rPr>
      </w:pPr>
      <w:r w:rsidRPr="00DF52CA">
        <w:rPr>
          <w:rFonts w:ascii="Arial" w:hAnsi="Arial" w:cs="Arial"/>
          <w:sz w:val="24"/>
          <w:szCs w:val="24"/>
        </w:rPr>
        <w:t>25% of respondents strongly disagreed or tended to disagree with the proposal</w:t>
      </w:r>
      <w:r w:rsidR="007F0595" w:rsidRPr="00DF52CA">
        <w:rPr>
          <w:rFonts w:ascii="Arial" w:hAnsi="Arial" w:cs="Arial"/>
          <w:sz w:val="24"/>
          <w:szCs w:val="24"/>
        </w:rPr>
        <w:t xml:space="preserve"> and</w:t>
      </w:r>
      <w:r w:rsidR="00FD6A56" w:rsidRPr="00DF52CA">
        <w:rPr>
          <w:rFonts w:ascii="Arial" w:hAnsi="Arial" w:cs="Arial"/>
          <w:sz w:val="24"/>
          <w:szCs w:val="24"/>
        </w:rPr>
        <w:t xml:space="preserve"> as can be seen above</w:t>
      </w:r>
      <w:r w:rsidR="007F0595" w:rsidRPr="00DF52CA">
        <w:rPr>
          <w:rFonts w:ascii="Arial" w:hAnsi="Arial" w:cs="Arial"/>
          <w:sz w:val="24"/>
          <w:szCs w:val="24"/>
        </w:rPr>
        <w:t xml:space="preserve"> these were distributed more or less evenly between those who strongly disagreed (12%) and those who tended to disagree (13%).</w:t>
      </w:r>
    </w:p>
    <w:p w:rsidR="00DF52CA" w:rsidRPr="00DF52CA" w:rsidRDefault="007F0595" w:rsidP="00627427">
      <w:pPr>
        <w:rPr>
          <w:rFonts w:ascii="Arial" w:hAnsi="Arial" w:cs="Arial"/>
          <w:sz w:val="24"/>
          <w:szCs w:val="24"/>
        </w:rPr>
      </w:pPr>
      <w:r w:rsidRPr="00DF52CA">
        <w:rPr>
          <w:rFonts w:ascii="Arial" w:hAnsi="Arial" w:cs="Arial"/>
          <w:sz w:val="24"/>
          <w:szCs w:val="24"/>
        </w:rPr>
        <w:lastRenderedPageBreak/>
        <w:t xml:space="preserve">The </w:t>
      </w:r>
      <w:r w:rsidR="00BC2746" w:rsidRPr="00DF52CA">
        <w:rPr>
          <w:rFonts w:ascii="Arial" w:hAnsi="Arial" w:cs="Arial"/>
          <w:sz w:val="24"/>
          <w:szCs w:val="24"/>
        </w:rPr>
        <w:t>main reasons given for disagreeing</w:t>
      </w:r>
      <w:r w:rsidRPr="00DF52CA">
        <w:rPr>
          <w:rFonts w:ascii="Arial" w:hAnsi="Arial" w:cs="Arial"/>
          <w:sz w:val="24"/>
          <w:szCs w:val="24"/>
        </w:rPr>
        <w:t xml:space="preserve"> with the SEND Sufficiency Strategy related to the creation of special educational needs units attached to mainstream schools</w:t>
      </w:r>
      <w:r w:rsidR="000D1ECB" w:rsidRPr="00DF52CA">
        <w:rPr>
          <w:rFonts w:ascii="Arial" w:hAnsi="Arial" w:cs="Arial"/>
          <w:sz w:val="24"/>
          <w:szCs w:val="24"/>
        </w:rPr>
        <w:t xml:space="preserve">. These comments reflected </w:t>
      </w:r>
      <w:r w:rsidR="00BC2746" w:rsidRPr="00DF52CA">
        <w:rPr>
          <w:rFonts w:ascii="Arial" w:hAnsi="Arial" w:cs="Arial"/>
          <w:sz w:val="24"/>
          <w:szCs w:val="24"/>
        </w:rPr>
        <w:t xml:space="preserve">some </w:t>
      </w:r>
      <w:r w:rsidR="000D1ECB" w:rsidRPr="00DF52CA">
        <w:rPr>
          <w:rFonts w:ascii="Arial" w:hAnsi="Arial" w:cs="Arial"/>
          <w:sz w:val="24"/>
          <w:szCs w:val="24"/>
        </w:rPr>
        <w:t xml:space="preserve">concerns about whether the </w:t>
      </w:r>
      <w:r w:rsidR="00FD6A56" w:rsidRPr="00DF52CA">
        <w:rPr>
          <w:rFonts w:ascii="Arial" w:hAnsi="Arial" w:cs="Arial"/>
          <w:sz w:val="24"/>
          <w:szCs w:val="24"/>
        </w:rPr>
        <w:t>staff deployed to the</w:t>
      </w:r>
      <w:r w:rsidR="000D1ECB" w:rsidRPr="00DF52CA">
        <w:rPr>
          <w:rFonts w:ascii="Arial" w:hAnsi="Arial" w:cs="Arial"/>
          <w:sz w:val="24"/>
          <w:szCs w:val="24"/>
        </w:rPr>
        <w:t xml:space="preserve"> units would have sufficient knowledge and expertise to provide the necessary specialist support for the pupils attending them. Other respondents focussed more on</w:t>
      </w:r>
      <w:r w:rsidR="003B289D" w:rsidRPr="00DF52CA">
        <w:rPr>
          <w:rFonts w:ascii="Arial" w:hAnsi="Arial" w:cs="Arial"/>
          <w:sz w:val="24"/>
          <w:szCs w:val="24"/>
        </w:rPr>
        <w:t xml:space="preserve"> the level of potential segregation for pupils attending the units and whether these units would have an adverse effect on the education on those within the units as well as other</w:t>
      </w:r>
      <w:r w:rsidR="00BC2746" w:rsidRPr="00DF52CA">
        <w:rPr>
          <w:rFonts w:ascii="Arial" w:hAnsi="Arial" w:cs="Arial"/>
          <w:sz w:val="24"/>
          <w:szCs w:val="24"/>
        </w:rPr>
        <w:t xml:space="preserve"> pupils in the school</w:t>
      </w:r>
      <w:r w:rsidR="003B289D" w:rsidRPr="00DF52CA">
        <w:rPr>
          <w:rFonts w:ascii="Arial" w:hAnsi="Arial" w:cs="Arial"/>
          <w:sz w:val="24"/>
          <w:szCs w:val="24"/>
        </w:rPr>
        <w:t xml:space="preserve">. </w:t>
      </w:r>
      <w:r w:rsidR="00DF52CA" w:rsidRPr="00DF52CA">
        <w:rPr>
          <w:rFonts w:ascii="Arial" w:hAnsi="Arial" w:cs="Arial"/>
          <w:sz w:val="24"/>
          <w:szCs w:val="24"/>
        </w:rPr>
        <w:t>There were, however, far fewer comments made by people raising concerns about the units than were made by respondents who were supportive of the proposal to create special educational needs units and who were also in agreement with the overall SEND Sufficiency Strategy.</w:t>
      </w:r>
    </w:p>
    <w:p w:rsidR="009F21AB" w:rsidRPr="00DF52CA" w:rsidRDefault="003B289D" w:rsidP="00627427">
      <w:pPr>
        <w:rPr>
          <w:rFonts w:ascii="Arial" w:hAnsi="Arial" w:cs="Arial"/>
          <w:sz w:val="24"/>
          <w:szCs w:val="24"/>
        </w:rPr>
      </w:pPr>
      <w:r w:rsidRPr="00DF52CA">
        <w:rPr>
          <w:rFonts w:ascii="Arial" w:hAnsi="Arial" w:cs="Arial"/>
          <w:sz w:val="24"/>
          <w:szCs w:val="24"/>
        </w:rPr>
        <w:t>Ot</w:t>
      </w:r>
      <w:r w:rsidR="00DF52CA" w:rsidRPr="00DF52CA">
        <w:rPr>
          <w:rFonts w:ascii="Arial" w:hAnsi="Arial" w:cs="Arial"/>
          <w:sz w:val="24"/>
          <w:szCs w:val="24"/>
        </w:rPr>
        <w:t>her comments made by</w:t>
      </w:r>
      <w:r w:rsidRPr="00DF52CA">
        <w:rPr>
          <w:rFonts w:ascii="Arial" w:hAnsi="Arial" w:cs="Arial"/>
          <w:sz w:val="24"/>
          <w:szCs w:val="24"/>
        </w:rPr>
        <w:t xml:space="preserve"> respondents</w:t>
      </w:r>
      <w:r w:rsidR="00DF52CA" w:rsidRPr="00DF52CA">
        <w:rPr>
          <w:rFonts w:ascii="Arial" w:hAnsi="Arial" w:cs="Arial"/>
          <w:sz w:val="24"/>
          <w:szCs w:val="24"/>
        </w:rPr>
        <w:t xml:space="preserve"> who disagreed with the </w:t>
      </w:r>
      <w:r w:rsidRPr="00DF52CA">
        <w:rPr>
          <w:rFonts w:ascii="Arial" w:hAnsi="Arial" w:cs="Arial"/>
          <w:sz w:val="24"/>
          <w:szCs w:val="24"/>
        </w:rPr>
        <w:t>SEND Sufficiency Strategy</w:t>
      </w:r>
      <w:r w:rsidR="00DF52CA" w:rsidRPr="00DF52CA">
        <w:rPr>
          <w:rFonts w:ascii="Arial" w:hAnsi="Arial" w:cs="Arial"/>
          <w:sz w:val="24"/>
          <w:szCs w:val="24"/>
        </w:rPr>
        <w:t xml:space="preserve"> proposal</w:t>
      </w:r>
      <w:r w:rsidRPr="00DF52CA">
        <w:rPr>
          <w:rFonts w:ascii="Arial" w:hAnsi="Arial" w:cs="Arial"/>
          <w:sz w:val="24"/>
          <w:szCs w:val="24"/>
        </w:rPr>
        <w:t xml:space="preserve"> related to</w:t>
      </w:r>
      <w:r w:rsidR="007F0595" w:rsidRPr="00DF52CA">
        <w:rPr>
          <w:rFonts w:ascii="Arial" w:hAnsi="Arial" w:cs="Arial"/>
          <w:sz w:val="24"/>
          <w:szCs w:val="24"/>
        </w:rPr>
        <w:t xml:space="preserve"> its failure to address a shortfall in particular types of provision or in particular areas </w:t>
      </w:r>
      <w:r w:rsidR="0004157C" w:rsidRPr="00DF52CA">
        <w:rPr>
          <w:rFonts w:ascii="Arial" w:hAnsi="Arial" w:cs="Arial"/>
          <w:sz w:val="24"/>
          <w:szCs w:val="24"/>
        </w:rPr>
        <w:t>of the county, most notably in the</w:t>
      </w:r>
      <w:r w:rsidR="00DF52CA" w:rsidRPr="00DF52CA">
        <w:rPr>
          <w:rFonts w:ascii="Arial" w:hAnsi="Arial" w:cs="Arial"/>
          <w:sz w:val="24"/>
          <w:szCs w:val="24"/>
        </w:rPr>
        <w:t xml:space="preserve"> far</w:t>
      </w:r>
      <w:r w:rsidR="0004157C" w:rsidRPr="00DF52CA">
        <w:rPr>
          <w:rFonts w:ascii="Arial" w:hAnsi="Arial" w:cs="Arial"/>
          <w:sz w:val="24"/>
          <w:szCs w:val="24"/>
        </w:rPr>
        <w:t xml:space="preserve"> south of the county</w:t>
      </w:r>
      <w:r w:rsidR="007F0595" w:rsidRPr="00DF52CA">
        <w:rPr>
          <w:rFonts w:ascii="Arial" w:hAnsi="Arial" w:cs="Arial"/>
          <w:sz w:val="24"/>
          <w:szCs w:val="24"/>
        </w:rPr>
        <w:t xml:space="preserve">. </w:t>
      </w:r>
      <w:r w:rsidRPr="00DF52CA">
        <w:rPr>
          <w:rFonts w:ascii="Arial" w:hAnsi="Arial" w:cs="Arial"/>
          <w:sz w:val="24"/>
          <w:szCs w:val="24"/>
        </w:rPr>
        <w:t>The failure of the strategy to make adequate provision for post-16 learners, those with the most complex needs, autism and hearing impairment were identified as particular concerns for some respondents.</w:t>
      </w:r>
    </w:p>
    <w:p w:rsidR="007F0595" w:rsidRPr="00DF52CA" w:rsidRDefault="0004157C" w:rsidP="00627427">
      <w:pPr>
        <w:rPr>
          <w:rFonts w:ascii="Arial" w:hAnsi="Arial" w:cs="Arial"/>
          <w:sz w:val="24"/>
          <w:szCs w:val="24"/>
        </w:rPr>
      </w:pPr>
      <w:r w:rsidRPr="00DF52CA">
        <w:rPr>
          <w:rFonts w:ascii="Arial" w:hAnsi="Arial" w:cs="Arial"/>
          <w:sz w:val="24"/>
          <w:szCs w:val="24"/>
        </w:rPr>
        <w:t>A few respondents raised concerns</w:t>
      </w:r>
      <w:r w:rsidR="00DF52CA" w:rsidRPr="00DF52CA">
        <w:rPr>
          <w:rFonts w:ascii="Arial" w:hAnsi="Arial" w:cs="Arial"/>
          <w:sz w:val="24"/>
          <w:szCs w:val="24"/>
        </w:rPr>
        <w:t xml:space="preserve"> that</w:t>
      </w:r>
      <w:r w:rsidRPr="00DF52CA">
        <w:rPr>
          <w:rFonts w:ascii="Arial" w:hAnsi="Arial" w:cs="Arial"/>
          <w:sz w:val="24"/>
          <w:szCs w:val="24"/>
        </w:rPr>
        <w:t xml:space="preserve"> the strategy failed to address </w:t>
      </w:r>
      <w:r w:rsidR="009F21AB" w:rsidRPr="00DF52CA">
        <w:rPr>
          <w:rFonts w:ascii="Arial" w:hAnsi="Arial" w:cs="Arial"/>
          <w:sz w:val="24"/>
          <w:szCs w:val="24"/>
        </w:rPr>
        <w:t xml:space="preserve">some of the </w:t>
      </w:r>
      <w:r w:rsidRPr="00DF52CA">
        <w:rPr>
          <w:rFonts w:ascii="Arial" w:hAnsi="Arial" w:cs="Arial"/>
          <w:sz w:val="24"/>
          <w:szCs w:val="24"/>
        </w:rPr>
        <w:t xml:space="preserve">shortcomings </w:t>
      </w:r>
      <w:r w:rsidR="009F21AB" w:rsidRPr="00DF52CA">
        <w:rPr>
          <w:rFonts w:ascii="Arial" w:hAnsi="Arial" w:cs="Arial"/>
          <w:sz w:val="24"/>
          <w:szCs w:val="24"/>
        </w:rPr>
        <w:t>of</w:t>
      </w:r>
      <w:r w:rsidR="004B512F" w:rsidRPr="00DF52CA">
        <w:rPr>
          <w:rFonts w:ascii="Arial" w:hAnsi="Arial" w:cs="Arial"/>
          <w:sz w:val="24"/>
          <w:szCs w:val="24"/>
        </w:rPr>
        <w:t xml:space="preserve"> the local authority</w:t>
      </w:r>
      <w:r w:rsidR="009F21AB" w:rsidRPr="00DF52CA">
        <w:rPr>
          <w:rFonts w:ascii="Arial" w:hAnsi="Arial" w:cs="Arial"/>
          <w:sz w:val="24"/>
          <w:szCs w:val="24"/>
        </w:rPr>
        <w:t>. Steps will be taken t</w:t>
      </w:r>
      <w:r w:rsidR="000D1ECB" w:rsidRPr="00DF52CA">
        <w:rPr>
          <w:rFonts w:ascii="Arial" w:hAnsi="Arial" w:cs="Arial"/>
          <w:sz w:val="24"/>
          <w:szCs w:val="24"/>
        </w:rPr>
        <w:t xml:space="preserve">o address these outside of the </w:t>
      </w:r>
      <w:r w:rsidR="009F21AB" w:rsidRPr="00DF52CA">
        <w:rPr>
          <w:rFonts w:ascii="Arial" w:hAnsi="Arial" w:cs="Arial"/>
          <w:sz w:val="24"/>
          <w:szCs w:val="24"/>
        </w:rPr>
        <w:t xml:space="preserve">SEND Sufficiency Strategy </w:t>
      </w:r>
      <w:r w:rsidR="000D1ECB" w:rsidRPr="00DF52CA">
        <w:rPr>
          <w:rFonts w:ascii="Arial" w:hAnsi="Arial" w:cs="Arial"/>
          <w:sz w:val="24"/>
          <w:szCs w:val="24"/>
        </w:rPr>
        <w:t>consultation where appropriate</w:t>
      </w:r>
      <w:r w:rsidR="00BC4121" w:rsidRPr="00DF52CA">
        <w:rPr>
          <w:rFonts w:ascii="Arial" w:hAnsi="Arial" w:cs="Arial"/>
          <w:sz w:val="24"/>
          <w:szCs w:val="24"/>
        </w:rPr>
        <w:t>. Examples of these include</w:t>
      </w:r>
      <w:r w:rsidR="00DF52CA" w:rsidRPr="00DF52CA">
        <w:rPr>
          <w:rFonts w:ascii="Arial" w:hAnsi="Arial" w:cs="Arial"/>
          <w:sz w:val="24"/>
          <w:szCs w:val="24"/>
        </w:rPr>
        <w:t>d issues associated with</w:t>
      </w:r>
      <w:r w:rsidR="000D1ECB" w:rsidRPr="00DF52CA">
        <w:rPr>
          <w:rFonts w:ascii="Arial" w:hAnsi="Arial" w:cs="Arial"/>
          <w:sz w:val="24"/>
          <w:szCs w:val="24"/>
        </w:rPr>
        <w:t xml:space="preserve"> local authority processes rather than provision</w:t>
      </w:r>
      <w:r w:rsidR="00DF52CA" w:rsidRPr="00DF52CA">
        <w:rPr>
          <w:rFonts w:ascii="Arial" w:hAnsi="Arial" w:cs="Arial"/>
          <w:sz w:val="24"/>
          <w:szCs w:val="24"/>
        </w:rPr>
        <w:t>,</w:t>
      </w:r>
      <w:r w:rsidR="00927ED7" w:rsidRPr="00DF52CA">
        <w:rPr>
          <w:rFonts w:ascii="Arial" w:hAnsi="Arial" w:cs="Arial"/>
          <w:sz w:val="24"/>
          <w:szCs w:val="24"/>
        </w:rPr>
        <w:t xml:space="preserve"> and how the local authority ensures the views of children and young people with special educational needs and their famili</w:t>
      </w:r>
      <w:r w:rsidR="008B4B69" w:rsidRPr="00DF52CA">
        <w:rPr>
          <w:rFonts w:ascii="Arial" w:hAnsi="Arial" w:cs="Arial"/>
          <w:sz w:val="24"/>
          <w:szCs w:val="24"/>
        </w:rPr>
        <w:t>es are taken into consideration at an individual level and collectively.</w:t>
      </w:r>
    </w:p>
    <w:p w:rsidR="00E47F16" w:rsidRPr="00DF52CA" w:rsidRDefault="00E47F16" w:rsidP="00627427">
      <w:pPr>
        <w:rPr>
          <w:rFonts w:ascii="Arial" w:hAnsi="Arial" w:cs="Arial"/>
          <w:sz w:val="24"/>
          <w:szCs w:val="24"/>
        </w:rPr>
      </w:pPr>
      <w:r w:rsidRPr="00DF52CA">
        <w:rPr>
          <w:rFonts w:ascii="Arial" w:hAnsi="Arial" w:cs="Arial"/>
          <w:sz w:val="24"/>
          <w:szCs w:val="24"/>
        </w:rPr>
        <w:t>Alternative proposals that were put forward by this group of respondents also identified a need for additional training, resources and funding for all schools including mainstream and those special educational needs units. Overwhelmingly though</w:t>
      </w:r>
      <w:r w:rsidR="00BC4121" w:rsidRPr="00DF52CA">
        <w:rPr>
          <w:rFonts w:ascii="Arial" w:hAnsi="Arial" w:cs="Arial"/>
          <w:sz w:val="24"/>
          <w:szCs w:val="24"/>
        </w:rPr>
        <w:t>,</w:t>
      </w:r>
      <w:r w:rsidRPr="00DF52CA">
        <w:rPr>
          <w:rFonts w:ascii="Arial" w:hAnsi="Arial" w:cs="Arial"/>
          <w:sz w:val="24"/>
          <w:szCs w:val="24"/>
        </w:rPr>
        <w:t xml:space="preserve"> these respondents identified a need to create more special school places either through the development of new special schools or through the expansion, improvement and refurbishment of existing schools.</w:t>
      </w:r>
    </w:p>
    <w:p w:rsidR="00A7718E" w:rsidRDefault="00A7718E" w:rsidP="00E47F16">
      <w:pPr>
        <w:pStyle w:val="Heading2"/>
      </w:pPr>
    </w:p>
    <w:p w:rsidR="00E47F16" w:rsidRDefault="00E47F16" w:rsidP="00E47F16">
      <w:pPr>
        <w:pStyle w:val="Heading2"/>
      </w:pPr>
      <w:r>
        <w:t>Respondents who neither agreed or disagreed</w:t>
      </w:r>
    </w:p>
    <w:p w:rsidR="00E47F16" w:rsidRPr="00DF52CA" w:rsidRDefault="00927ED7" w:rsidP="00E47F16">
      <w:pPr>
        <w:rPr>
          <w:rFonts w:ascii="Arial" w:hAnsi="Arial" w:cs="Arial"/>
          <w:sz w:val="24"/>
          <w:szCs w:val="24"/>
        </w:rPr>
      </w:pPr>
      <w:r w:rsidRPr="00DF52CA">
        <w:rPr>
          <w:rFonts w:ascii="Arial" w:hAnsi="Arial" w:cs="Arial"/>
          <w:sz w:val="24"/>
          <w:szCs w:val="24"/>
        </w:rPr>
        <w:t>10% of respondents fell within this group. Most of the comments provided by these respondents related either to specific projects, such as the proposal for the Haven site or the failure to address gaps in provision in specific locations or for a particular type of special educational need. These comments also tended to</w:t>
      </w:r>
      <w:r w:rsidR="008B4B69" w:rsidRPr="00DF52CA">
        <w:rPr>
          <w:rFonts w:ascii="Arial" w:hAnsi="Arial" w:cs="Arial"/>
          <w:sz w:val="24"/>
          <w:szCs w:val="24"/>
        </w:rPr>
        <w:t xml:space="preserve"> relate to the circumstances </w:t>
      </w:r>
      <w:r w:rsidR="00BC4121" w:rsidRPr="00DF52CA">
        <w:rPr>
          <w:rFonts w:ascii="Arial" w:hAnsi="Arial" w:cs="Arial"/>
          <w:sz w:val="24"/>
          <w:szCs w:val="24"/>
        </w:rPr>
        <w:t>of</w:t>
      </w:r>
      <w:r w:rsidR="008B4B69" w:rsidRPr="00DF52CA">
        <w:rPr>
          <w:rFonts w:ascii="Arial" w:hAnsi="Arial" w:cs="Arial"/>
          <w:sz w:val="24"/>
          <w:szCs w:val="24"/>
        </w:rPr>
        <w:t xml:space="preserve"> individual pupil</w:t>
      </w:r>
      <w:r w:rsidR="00BC4121" w:rsidRPr="00DF52CA">
        <w:rPr>
          <w:rFonts w:ascii="Arial" w:hAnsi="Arial" w:cs="Arial"/>
          <w:sz w:val="24"/>
          <w:szCs w:val="24"/>
        </w:rPr>
        <w:t>s</w:t>
      </w:r>
      <w:r w:rsidR="008B4B69" w:rsidRPr="00DF52CA">
        <w:rPr>
          <w:rFonts w:ascii="Arial" w:hAnsi="Arial" w:cs="Arial"/>
          <w:sz w:val="24"/>
          <w:szCs w:val="24"/>
        </w:rPr>
        <w:t xml:space="preserve">. </w:t>
      </w:r>
    </w:p>
    <w:p w:rsidR="008B4B69" w:rsidRPr="00DF52CA" w:rsidRDefault="008B4B69" w:rsidP="00E47F16">
      <w:pPr>
        <w:rPr>
          <w:rFonts w:ascii="Arial" w:hAnsi="Arial" w:cs="Arial"/>
          <w:sz w:val="24"/>
          <w:szCs w:val="24"/>
        </w:rPr>
      </w:pPr>
      <w:r w:rsidRPr="00DF52CA">
        <w:rPr>
          <w:rFonts w:ascii="Arial" w:hAnsi="Arial" w:cs="Arial"/>
          <w:sz w:val="24"/>
          <w:szCs w:val="24"/>
        </w:rPr>
        <w:t>A limited number of respondents within this group made specific reference to alternative provision and pupil referral units; this type of provision did not appear in the responses provided by people who agreed or did not agree with the</w:t>
      </w:r>
      <w:r w:rsidR="00BC4121" w:rsidRPr="00DF52CA">
        <w:rPr>
          <w:rFonts w:ascii="Arial" w:hAnsi="Arial" w:cs="Arial"/>
          <w:sz w:val="24"/>
          <w:szCs w:val="24"/>
        </w:rPr>
        <w:t xml:space="preserve"> proposed</w:t>
      </w:r>
      <w:r w:rsidRPr="00DF52CA">
        <w:rPr>
          <w:rFonts w:ascii="Arial" w:hAnsi="Arial" w:cs="Arial"/>
          <w:sz w:val="24"/>
          <w:szCs w:val="24"/>
        </w:rPr>
        <w:t xml:space="preserve"> SEND Sufficiency Strategy. The other main difference </w:t>
      </w:r>
      <w:r w:rsidR="00DF52CA" w:rsidRPr="00DF52CA">
        <w:rPr>
          <w:rFonts w:ascii="Arial" w:hAnsi="Arial" w:cs="Arial"/>
          <w:sz w:val="24"/>
          <w:szCs w:val="24"/>
        </w:rPr>
        <w:t>was</w:t>
      </w:r>
      <w:r w:rsidRPr="00DF52CA">
        <w:rPr>
          <w:rFonts w:ascii="Arial" w:hAnsi="Arial" w:cs="Arial"/>
          <w:sz w:val="24"/>
          <w:szCs w:val="24"/>
        </w:rPr>
        <w:t xml:space="preserve"> that respondents within this group sought more information about the potential impact of the proposals contained within the strategy and</w:t>
      </w:r>
      <w:r w:rsidR="00DF52CA" w:rsidRPr="00DF52CA">
        <w:rPr>
          <w:rFonts w:ascii="Arial" w:hAnsi="Arial" w:cs="Arial"/>
          <w:sz w:val="24"/>
          <w:szCs w:val="24"/>
        </w:rPr>
        <w:t xml:space="preserve"> of the need for</w:t>
      </w:r>
      <w:r w:rsidRPr="00DF52CA">
        <w:rPr>
          <w:rFonts w:ascii="Arial" w:hAnsi="Arial" w:cs="Arial"/>
          <w:sz w:val="24"/>
          <w:szCs w:val="24"/>
        </w:rPr>
        <w:t xml:space="preserve"> specific types of provision.</w:t>
      </w:r>
    </w:p>
    <w:p w:rsidR="00566D72" w:rsidRPr="00DF52CA" w:rsidRDefault="00566D72" w:rsidP="00E47F16">
      <w:pPr>
        <w:rPr>
          <w:rFonts w:ascii="Arial" w:hAnsi="Arial" w:cs="Arial"/>
          <w:sz w:val="24"/>
          <w:szCs w:val="24"/>
        </w:rPr>
      </w:pPr>
      <w:r w:rsidRPr="00DF52CA">
        <w:rPr>
          <w:rFonts w:ascii="Arial" w:hAnsi="Arial" w:cs="Arial"/>
          <w:sz w:val="24"/>
          <w:szCs w:val="24"/>
        </w:rPr>
        <w:lastRenderedPageBreak/>
        <w:t>Suggestions about how the SEND Sufficiency Strategy could be improved from this group of respondents were also mixed, although they tended to fall within three main themes. The first of these related to addressing gaps in provision generally and for specific types of need, such as autism and social, emotional and mental health needs. The second theme that emerged related primarily to a need to improve the quality of support available within mainstream schools and at an earlier stage. These issues see</w:t>
      </w:r>
      <w:r w:rsidR="00DF52CA" w:rsidRPr="00DF52CA">
        <w:rPr>
          <w:rFonts w:ascii="Arial" w:hAnsi="Arial" w:cs="Arial"/>
          <w:sz w:val="24"/>
          <w:szCs w:val="24"/>
        </w:rPr>
        <w:t>med to be linked to current</w:t>
      </w:r>
      <w:r w:rsidRPr="00DF52CA">
        <w:rPr>
          <w:rFonts w:ascii="Arial" w:hAnsi="Arial" w:cs="Arial"/>
          <w:sz w:val="24"/>
          <w:szCs w:val="24"/>
        </w:rPr>
        <w:t xml:space="preserve"> practice </w:t>
      </w:r>
      <w:r w:rsidR="00DF52CA" w:rsidRPr="00DF52CA">
        <w:rPr>
          <w:rFonts w:ascii="Arial" w:hAnsi="Arial" w:cs="Arial"/>
          <w:sz w:val="24"/>
          <w:szCs w:val="24"/>
        </w:rPr>
        <w:t>in</w:t>
      </w:r>
      <w:r w:rsidRPr="00DF52CA">
        <w:rPr>
          <w:rFonts w:ascii="Arial" w:hAnsi="Arial" w:cs="Arial"/>
          <w:sz w:val="24"/>
          <w:szCs w:val="24"/>
        </w:rPr>
        <w:t xml:space="preserve"> schools, funding and the availability of training. The third </w:t>
      </w:r>
      <w:r w:rsidR="00DF52CA" w:rsidRPr="00DF52CA">
        <w:rPr>
          <w:rFonts w:ascii="Arial" w:hAnsi="Arial" w:cs="Arial"/>
          <w:sz w:val="24"/>
          <w:szCs w:val="24"/>
        </w:rPr>
        <w:t>and final theme</w:t>
      </w:r>
      <w:r w:rsidRPr="00DF52CA">
        <w:rPr>
          <w:rFonts w:ascii="Arial" w:hAnsi="Arial" w:cs="Arial"/>
          <w:sz w:val="24"/>
          <w:szCs w:val="24"/>
        </w:rPr>
        <w:t xml:space="preserve"> was associated with the need for more information and more opportunities for stakeholders to put forward their views. It should be noted however there were fewer than ten responses that included a reference to </w:t>
      </w:r>
      <w:r w:rsidR="00DF52CA" w:rsidRPr="00DF52CA">
        <w:rPr>
          <w:rFonts w:ascii="Arial" w:hAnsi="Arial" w:cs="Arial"/>
          <w:sz w:val="24"/>
          <w:szCs w:val="24"/>
        </w:rPr>
        <w:t>any</w:t>
      </w:r>
      <w:r w:rsidRPr="00DF52CA">
        <w:rPr>
          <w:rFonts w:ascii="Arial" w:hAnsi="Arial" w:cs="Arial"/>
          <w:sz w:val="24"/>
          <w:szCs w:val="24"/>
        </w:rPr>
        <w:t xml:space="preserve"> of these themes.</w:t>
      </w:r>
    </w:p>
    <w:p w:rsidR="00956BEE" w:rsidRDefault="00956BEE">
      <w:r>
        <w:br w:type="page"/>
      </w:r>
    </w:p>
    <w:p w:rsidR="00956BEE" w:rsidRDefault="00956BEE" w:rsidP="00956BEE">
      <w:pPr>
        <w:rPr>
          <w:rFonts w:ascii="Arial" w:hAnsi="Arial" w:cs="Arial"/>
          <w:b/>
          <w:sz w:val="24"/>
          <w:szCs w:val="24"/>
        </w:rPr>
      </w:pPr>
      <w:r w:rsidRPr="00555AA0">
        <w:rPr>
          <w:rFonts w:ascii="Arial" w:hAnsi="Arial" w:cs="Arial"/>
          <w:b/>
          <w:sz w:val="24"/>
          <w:szCs w:val="24"/>
        </w:rPr>
        <w:lastRenderedPageBreak/>
        <w:t>Consultation results</w:t>
      </w:r>
    </w:p>
    <w:p w:rsidR="00956BEE" w:rsidRDefault="00956BEE" w:rsidP="00956BEE">
      <w:pPr>
        <w:rPr>
          <w:rFonts w:ascii="Arial" w:hAnsi="Arial" w:cs="Arial"/>
          <w:b/>
          <w:sz w:val="24"/>
          <w:szCs w:val="24"/>
        </w:rPr>
      </w:pPr>
      <w:r>
        <w:rPr>
          <w:rFonts w:ascii="Arial" w:hAnsi="Arial" w:cs="Arial"/>
          <w:b/>
          <w:sz w:val="24"/>
          <w:szCs w:val="24"/>
        </w:rPr>
        <w:t>Broadfield Specialist School</w:t>
      </w:r>
    </w:p>
    <w:p w:rsidR="00956BEE" w:rsidRDefault="00765784" w:rsidP="00956BEE">
      <w:pPr>
        <w:rPr>
          <w:rFonts w:ascii="Arial" w:hAnsi="Arial" w:cs="Arial"/>
          <w:sz w:val="24"/>
          <w:szCs w:val="24"/>
        </w:rPr>
      </w:pPr>
      <w:r>
        <w:rPr>
          <w:rFonts w:ascii="Arial" w:hAnsi="Arial" w:cs="Arial"/>
          <w:sz w:val="24"/>
          <w:szCs w:val="24"/>
        </w:rPr>
        <w:t>There were 77</w:t>
      </w:r>
      <w:r w:rsidR="00427401">
        <w:rPr>
          <w:rFonts w:ascii="Arial" w:hAnsi="Arial" w:cs="Arial"/>
          <w:sz w:val="24"/>
          <w:szCs w:val="24"/>
        </w:rPr>
        <w:t xml:space="preserve"> respondents, of whom 79</w:t>
      </w:r>
      <w:r w:rsidR="00956BEE">
        <w:rPr>
          <w:rFonts w:ascii="Arial" w:hAnsi="Arial" w:cs="Arial"/>
          <w:sz w:val="24"/>
          <w:szCs w:val="24"/>
        </w:rPr>
        <w:t xml:space="preserve">% strongly agreed or tended to agree with the proposal; 5% </w:t>
      </w:r>
      <w:r w:rsidR="00427401">
        <w:rPr>
          <w:rFonts w:ascii="Arial" w:hAnsi="Arial" w:cs="Arial"/>
          <w:sz w:val="24"/>
          <w:szCs w:val="24"/>
        </w:rPr>
        <w:t>did not agree or disagree and 16</w:t>
      </w:r>
      <w:r w:rsidR="00956BEE">
        <w:rPr>
          <w:rFonts w:ascii="Arial" w:hAnsi="Arial" w:cs="Arial"/>
          <w:sz w:val="24"/>
          <w:szCs w:val="24"/>
        </w:rPr>
        <w:t>% strongly disagreed or tended to disagree.</w:t>
      </w:r>
    </w:p>
    <w:p w:rsidR="00765784" w:rsidRDefault="00427401" w:rsidP="00956BEE">
      <w:pPr>
        <w:rPr>
          <w:rFonts w:ascii="Arial" w:hAnsi="Arial" w:cs="Arial"/>
          <w:sz w:val="24"/>
          <w:szCs w:val="24"/>
        </w:rPr>
      </w:pPr>
      <w:r>
        <w:rPr>
          <w:rFonts w:ascii="Arial" w:hAnsi="Arial" w:cs="Arial"/>
          <w:sz w:val="24"/>
          <w:szCs w:val="24"/>
        </w:rPr>
        <w:t>61</w:t>
      </w:r>
      <w:r w:rsidR="00956BEE">
        <w:rPr>
          <w:rFonts w:ascii="Arial" w:hAnsi="Arial" w:cs="Arial"/>
          <w:sz w:val="24"/>
          <w:szCs w:val="24"/>
        </w:rPr>
        <w:t>% of respondents had children and young people already attending the school.</w:t>
      </w:r>
    </w:p>
    <w:p w:rsidR="009B7EEC" w:rsidRDefault="009D2C73" w:rsidP="00956BEE">
      <w:pPr>
        <w:rPr>
          <w:rFonts w:ascii="Arial" w:hAnsi="Arial" w:cs="Arial"/>
          <w:sz w:val="24"/>
          <w:szCs w:val="24"/>
        </w:rPr>
      </w:pPr>
      <w:r>
        <w:rPr>
          <w:rFonts w:ascii="Arial" w:hAnsi="Arial" w:cs="Arial"/>
          <w:sz w:val="24"/>
          <w:szCs w:val="24"/>
        </w:rPr>
        <w:t>Improved facilities, more space and the need for more special school places were the reasons</w:t>
      </w:r>
      <w:r w:rsidR="009B7EEC">
        <w:rPr>
          <w:rFonts w:ascii="Arial" w:hAnsi="Arial" w:cs="Arial"/>
          <w:sz w:val="24"/>
          <w:szCs w:val="24"/>
        </w:rPr>
        <w:t xml:space="preserve"> given by</w:t>
      </w:r>
      <w:r>
        <w:rPr>
          <w:rFonts w:ascii="Arial" w:hAnsi="Arial" w:cs="Arial"/>
          <w:sz w:val="24"/>
          <w:szCs w:val="24"/>
        </w:rPr>
        <w:t xml:space="preserve"> most respondents </w:t>
      </w:r>
      <w:r w:rsidR="009B7EEC">
        <w:rPr>
          <w:rFonts w:ascii="Arial" w:hAnsi="Arial" w:cs="Arial"/>
          <w:sz w:val="24"/>
          <w:szCs w:val="24"/>
        </w:rPr>
        <w:t>who were in agreement with</w:t>
      </w:r>
      <w:r>
        <w:rPr>
          <w:rFonts w:ascii="Arial" w:hAnsi="Arial" w:cs="Arial"/>
          <w:sz w:val="24"/>
          <w:szCs w:val="24"/>
        </w:rPr>
        <w:t xml:space="preserve"> the proposal to expand and relocate Broadfield Specialist School. </w:t>
      </w:r>
      <w:r w:rsidR="009B7EEC">
        <w:rPr>
          <w:rFonts w:ascii="Arial" w:hAnsi="Arial" w:cs="Arial"/>
          <w:sz w:val="24"/>
          <w:szCs w:val="24"/>
        </w:rPr>
        <w:t>Better facilities were associated with increased opportunities for developing a range of skills a</w:t>
      </w:r>
      <w:r w:rsidR="009D2221">
        <w:rPr>
          <w:rFonts w:ascii="Arial" w:hAnsi="Arial" w:cs="Arial"/>
          <w:sz w:val="24"/>
          <w:szCs w:val="24"/>
        </w:rPr>
        <w:t>nd knowledge</w:t>
      </w:r>
      <w:r w:rsidR="001C2B42">
        <w:rPr>
          <w:rFonts w:ascii="Arial" w:hAnsi="Arial" w:cs="Arial"/>
          <w:sz w:val="24"/>
          <w:szCs w:val="24"/>
        </w:rPr>
        <w:t xml:space="preserve"> by some respondents</w:t>
      </w:r>
      <w:r w:rsidR="009D2221">
        <w:rPr>
          <w:rFonts w:ascii="Arial" w:hAnsi="Arial" w:cs="Arial"/>
          <w:sz w:val="24"/>
          <w:szCs w:val="24"/>
        </w:rPr>
        <w:t xml:space="preserve">. There were a few respondents </w:t>
      </w:r>
      <w:r w:rsidR="009B7EEC">
        <w:rPr>
          <w:rFonts w:ascii="Arial" w:hAnsi="Arial" w:cs="Arial"/>
          <w:sz w:val="24"/>
          <w:szCs w:val="24"/>
        </w:rPr>
        <w:t>who</w:t>
      </w:r>
      <w:r w:rsidR="009D2221">
        <w:rPr>
          <w:rFonts w:ascii="Arial" w:hAnsi="Arial" w:cs="Arial"/>
          <w:sz w:val="24"/>
          <w:szCs w:val="24"/>
        </w:rPr>
        <w:t>,</w:t>
      </w:r>
      <w:r w:rsidR="009B7EEC">
        <w:rPr>
          <w:rFonts w:ascii="Arial" w:hAnsi="Arial" w:cs="Arial"/>
          <w:sz w:val="24"/>
          <w:szCs w:val="24"/>
        </w:rPr>
        <w:t xml:space="preserve"> although supportive of the proposed change to the school</w:t>
      </w:r>
      <w:r w:rsidR="009D2221">
        <w:rPr>
          <w:rFonts w:ascii="Arial" w:hAnsi="Arial" w:cs="Arial"/>
          <w:sz w:val="24"/>
          <w:szCs w:val="24"/>
        </w:rPr>
        <w:t>,</w:t>
      </w:r>
      <w:r w:rsidR="009B7EEC">
        <w:rPr>
          <w:rFonts w:ascii="Arial" w:hAnsi="Arial" w:cs="Arial"/>
          <w:sz w:val="24"/>
          <w:szCs w:val="24"/>
        </w:rPr>
        <w:t xml:space="preserve"> pointed out the drawbacks to their own personal circumstances. These primarily related to the disruption to their child's education and the increased travelling time, that affected both pupils' travelling time and their own if they needed to go and collect their child for health reasons or to attend parents' consultation meetings</w:t>
      </w:r>
      <w:r w:rsidR="001C2B42">
        <w:rPr>
          <w:rFonts w:ascii="Arial" w:hAnsi="Arial" w:cs="Arial"/>
          <w:sz w:val="24"/>
          <w:szCs w:val="24"/>
        </w:rPr>
        <w:t>, for example</w:t>
      </w:r>
      <w:r w:rsidR="009B7EEC">
        <w:rPr>
          <w:rFonts w:ascii="Arial" w:hAnsi="Arial" w:cs="Arial"/>
          <w:sz w:val="24"/>
          <w:szCs w:val="24"/>
        </w:rPr>
        <w:t>.</w:t>
      </w:r>
      <w:r w:rsidR="00956BEE">
        <w:rPr>
          <w:rFonts w:ascii="Arial" w:hAnsi="Arial" w:cs="Arial"/>
          <w:sz w:val="24"/>
          <w:szCs w:val="24"/>
        </w:rPr>
        <w:t xml:space="preserve"> </w:t>
      </w:r>
    </w:p>
    <w:p w:rsidR="00B8418D" w:rsidRDefault="00B8418D" w:rsidP="00956BEE">
      <w:pPr>
        <w:rPr>
          <w:rFonts w:ascii="Arial" w:hAnsi="Arial" w:cs="Arial"/>
          <w:sz w:val="24"/>
          <w:szCs w:val="24"/>
        </w:rPr>
      </w:pPr>
      <w:r>
        <w:rPr>
          <w:rFonts w:ascii="Arial" w:hAnsi="Arial" w:cs="Arial"/>
          <w:sz w:val="24"/>
          <w:szCs w:val="24"/>
        </w:rPr>
        <w:t>Other reasons, in addition to those identified above, given by people who were not in agreement with the proposal to relocate Broadfield Specialist School included difficulties with attending after school activities and a sense of loss that the school would no longer be part of Hyndburn</w:t>
      </w:r>
      <w:r w:rsidR="001C2B42">
        <w:rPr>
          <w:rFonts w:ascii="Arial" w:hAnsi="Arial" w:cs="Arial"/>
          <w:sz w:val="24"/>
          <w:szCs w:val="24"/>
        </w:rPr>
        <w:t>. This was seen to have an adverse effect on</w:t>
      </w:r>
      <w:r>
        <w:rPr>
          <w:rFonts w:ascii="Arial" w:hAnsi="Arial" w:cs="Arial"/>
          <w:sz w:val="24"/>
          <w:szCs w:val="24"/>
        </w:rPr>
        <w:t xml:space="preserve"> both pupils and the community. It was also the case that a limited number of these respondents identified the benefits the move and expa</w:t>
      </w:r>
      <w:r w:rsidR="009D2221">
        <w:rPr>
          <w:rFonts w:ascii="Arial" w:hAnsi="Arial" w:cs="Arial"/>
          <w:sz w:val="24"/>
          <w:szCs w:val="24"/>
        </w:rPr>
        <w:t>nsion of the school would bring</w:t>
      </w:r>
      <w:r w:rsidR="001C2B42">
        <w:rPr>
          <w:rFonts w:ascii="Arial" w:hAnsi="Arial" w:cs="Arial"/>
          <w:sz w:val="24"/>
          <w:szCs w:val="24"/>
        </w:rPr>
        <w:t>,</w:t>
      </w:r>
      <w:r w:rsidR="009D2221">
        <w:rPr>
          <w:rFonts w:ascii="Arial" w:hAnsi="Arial" w:cs="Arial"/>
          <w:sz w:val="24"/>
          <w:szCs w:val="24"/>
        </w:rPr>
        <w:t xml:space="preserve"> even though they disagreed with the overall proposal.</w:t>
      </w:r>
    </w:p>
    <w:p w:rsidR="00956BEE" w:rsidRDefault="00956BEE" w:rsidP="00956BEE">
      <w:pPr>
        <w:rPr>
          <w:rFonts w:ascii="Arial" w:hAnsi="Arial" w:cs="Arial"/>
          <w:sz w:val="24"/>
          <w:szCs w:val="24"/>
        </w:rPr>
      </w:pPr>
    </w:p>
    <w:p w:rsidR="00956BEE" w:rsidRDefault="00956BEE" w:rsidP="00956BEE">
      <w:pPr>
        <w:rPr>
          <w:rFonts w:ascii="Arial" w:hAnsi="Arial" w:cs="Arial"/>
          <w:b/>
          <w:sz w:val="24"/>
          <w:szCs w:val="24"/>
        </w:rPr>
      </w:pPr>
      <w:r w:rsidRPr="00555AA0">
        <w:rPr>
          <w:rFonts w:ascii="Arial" w:hAnsi="Arial" w:cs="Arial"/>
          <w:b/>
          <w:sz w:val="24"/>
          <w:szCs w:val="24"/>
        </w:rPr>
        <w:t>Sir Tom Finney Community High School</w:t>
      </w:r>
    </w:p>
    <w:p w:rsidR="00956BEE" w:rsidRDefault="00956BEE" w:rsidP="00956BEE">
      <w:pPr>
        <w:rPr>
          <w:rFonts w:ascii="Arial" w:hAnsi="Arial" w:cs="Arial"/>
          <w:sz w:val="24"/>
          <w:szCs w:val="24"/>
        </w:rPr>
      </w:pPr>
      <w:r>
        <w:rPr>
          <w:rFonts w:ascii="Arial" w:hAnsi="Arial" w:cs="Arial"/>
          <w:sz w:val="24"/>
          <w:szCs w:val="24"/>
        </w:rPr>
        <w:t>There were 1</w:t>
      </w:r>
      <w:r w:rsidR="002D2085">
        <w:rPr>
          <w:rFonts w:ascii="Arial" w:hAnsi="Arial" w:cs="Arial"/>
          <w:sz w:val="24"/>
          <w:szCs w:val="24"/>
        </w:rPr>
        <w:t xml:space="preserve">4 respondents, 85% of whom </w:t>
      </w:r>
      <w:r>
        <w:rPr>
          <w:rFonts w:ascii="Arial" w:hAnsi="Arial" w:cs="Arial"/>
          <w:sz w:val="24"/>
          <w:szCs w:val="24"/>
        </w:rPr>
        <w:t>strongly agreed or tended to agree with the proposal</w:t>
      </w:r>
      <w:r w:rsidR="002D2085">
        <w:rPr>
          <w:rFonts w:ascii="Arial" w:hAnsi="Arial" w:cs="Arial"/>
          <w:sz w:val="24"/>
          <w:szCs w:val="24"/>
        </w:rPr>
        <w:t xml:space="preserve"> to expand the school</w:t>
      </w:r>
      <w:r>
        <w:rPr>
          <w:rFonts w:ascii="Arial" w:hAnsi="Arial" w:cs="Arial"/>
          <w:sz w:val="24"/>
          <w:szCs w:val="24"/>
        </w:rPr>
        <w:t>. The rest disagreed or tended to disagree.</w:t>
      </w:r>
    </w:p>
    <w:p w:rsidR="00E75BB3" w:rsidRDefault="00E75BB3" w:rsidP="00956BEE">
      <w:pPr>
        <w:rPr>
          <w:rFonts w:ascii="Arial" w:hAnsi="Arial" w:cs="Arial"/>
          <w:sz w:val="24"/>
          <w:szCs w:val="24"/>
        </w:rPr>
      </w:pPr>
      <w:r>
        <w:rPr>
          <w:rFonts w:ascii="Arial" w:hAnsi="Arial" w:cs="Arial"/>
          <w:sz w:val="24"/>
          <w:szCs w:val="24"/>
        </w:rPr>
        <w:t xml:space="preserve">Respondents who agreed with the proposal indicated this was because </w:t>
      </w:r>
      <w:r w:rsidR="002D2085">
        <w:rPr>
          <w:rFonts w:ascii="Arial" w:hAnsi="Arial" w:cs="Arial"/>
          <w:sz w:val="24"/>
          <w:szCs w:val="24"/>
        </w:rPr>
        <w:t>more pupils would benefit from the</w:t>
      </w:r>
      <w:r>
        <w:rPr>
          <w:rFonts w:ascii="Arial" w:hAnsi="Arial" w:cs="Arial"/>
          <w:sz w:val="24"/>
          <w:szCs w:val="24"/>
        </w:rPr>
        <w:t xml:space="preserve"> specialist knowl</w:t>
      </w:r>
      <w:r w:rsidR="002D2085">
        <w:rPr>
          <w:rFonts w:ascii="Arial" w:hAnsi="Arial" w:cs="Arial"/>
          <w:sz w:val="24"/>
          <w:szCs w:val="24"/>
        </w:rPr>
        <w:t xml:space="preserve">edge, skills and experience of the school staff and the facilities already available within the school. Other reasons related to the location of the school and </w:t>
      </w:r>
      <w:r w:rsidR="001C2B42">
        <w:rPr>
          <w:rFonts w:ascii="Arial" w:hAnsi="Arial" w:cs="Arial"/>
          <w:sz w:val="24"/>
          <w:szCs w:val="24"/>
        </w:rPr>
        <w:t xml:space="preserve">the building's existing </w:t>
      </w:r>
      <w:r w:rsidR="002D2085">
        <w:rPr>
          <w:rFonts w:ascii="Arial" w:hAnsi="Arial" w:cs="Arial"/>
          <w:sz w:val="24"/>
          <w:szCs w:val="24"/>
        </w:rPr>
        <w:t>underutilised space.</w:t>
      </w:r>
    </w:p>
    <w:p w:rsidR="00956BEE" w:rsidRDefault="00956BEE" w:rsidP="00956BEE">
      <w:pPr>
        <w:rPr>
          <w:rFonts w:ascii="Arial" w:hAnsi="Arial" w:cs="Arial"/>
          <w:sz w:val="24"/>
          <w:szCs w:val="24"/>
        </w:rPr>
      </w:pPr>
      <w:r>
        <w:rPr>
          <w:rFonts w:ascii="Arial" w:hAnsi="Arial" w:cs="Arial"/>
          <w:sz w:val="24"/>
          <w:szCs w:val="24"/>
        </w:rPr>
        <w:t xml:space="preserve">The limited number of concerns that were raised </w:t>
      </w:r>
      <w:r w:rsidR="007B5070">
        <w:rPr>
          <w:rFonts w:ascii="Arial" w:hAnsi="Arial" w:cs="Arial"/>
          <w:sz w:val="24"/>
          <w:szCs w:val="24"/>
        </w:rPr>
        <w:t>were associated with an</w:t>
      </w:r>
      <w:r>
        <w:rPr>
          <w:rFonts w:ascii="Arial" w:hAnsi="Arial" w:cs="Arial"/>
          <w:sz w:val="24"/>
          <w:szCs w:val="24"/>
        </w:rPr>
        <w:t xml:space="preserve"> increased volume of traffic and the </w:t>
      </w:r>
      <w:r w:rsidR="007B5070">
        <w:rPr>
          <w:rFonts w:ascii="Arial" w:hAnsi="Arial" w:cs="Arial"/>
          <w:sz w:val="24"/>
          <w:szCs w:val="24"/>
        </w:rPr>
        <w:t>impact the expansion</w:t>
      </w:r>
      <w:r>
        <w:rPr>
          <w:rFonts w:ascii="Arial" w:hAnsi="Arial" w:cs="Arial"/>
          <w:sz w:val="24"/>
          <w:szCs w:val="24"/>
        </w:rPr>
        <w:t xml:space="preserve"> of the school might have on individual pupils.</w:t>
      </w:r>
    </w:p>
    <w:p w:rsidR="00956BEE" w:rsidRDefault="00956BEE" w:rsidP="00956BEE">
      <w:pPr>
        <w:rPr>
          <w:rFonts w:ascii="Arial" w:hAnsi="Arial" w:cs="Arial"/>
          <w:sz w:val="24"/>
          <w:szCs w:val="24"/>
        </w:rPr>
        <w:sectPr w:rsidR="00956BEE" w:rsidSect="00956BEE">
          <w:pgSz w:w="11906" w:h="16838"/>
          <w:pgMar w:top="1440" w:right="1440" w:bottom="1440" w:left="1440" w:header="708" w:footer="708" w:gutter="0"/>
          <w:cols w:space="708"/>
          <w:docGrid w:linePitch="360"/>
        </w:sectPr>
      </w:pPr>
      <w:r>
        <w:rPr>
          <w:rFonts w:ascii="Arial" w:hAnsi="Arial" w:cs="Arial"/>
          <w:sz w:val="24"/>
          <w:szCs w:val="24"/>
        </w:rPr>
        <w:t>43% of respondents identified themselves as staff and 29% as the parents or carers of children and young people attending the school already</w:t>
      </w:r>
      <w:r w:rsidR="001C2B42">
        <w:rPr>
          <w:rFonts w:ascii="Arial" w:hAnsi="Arial" w:cs="Arial"/>
          <w:sz w:val="24"/>
          <w:szCs w:val="24"/>
        </w:rPr>
        <w:t>,</w:t>
      </w:r>
      <w:r>
        <w:rPr>
          <w:rFonts w:ascii="Arial" w:hAnsi="Arial" w:cs="Arial"/>
          <w:sz w:val="24"/>
          <w:szCs w:val="24"/>
        </w:rPr>
        <w:t xml:space="preserve"> or </w:t>
      </w:r>
      <w:r w:rsidR="001C2B42">
        <w:rPr>
          <w:rFonts w:ascii="Arial" w:hAnsi="Arial" w:cs="Arial"/>
          <w:sz w:val="24"/>
          <w:szCs w:val="24"/>
        </w:rPr>
        <w:t xml:space="preserve">those </w:t>
      </w:r>
      <w:r>
        <w:rPr>
          <w:rFonts w:ascii="Arial" w:hAnsi="Arial" w:cs="Arial"/>
          <w:sz w:val="24"/>
          <w:szCs w:val="24"/>
        </w:rPr>
        <w:t xml:space="preserve">who hoped their child would attend in the future. </w:t>
      </w:r>
    </w:p>
    <w:p w:rsidR="00956BEE" w:rsidRDefault="00956BEE" w:rsidP="00956BEE">
      <w:pPr>
        <w:rPr>
          <w:rFonts w:ascii="Arial" w:hAnsi="Arial" w:cs="Arial"/>
          <w:b/>
          <w:sz w:val="24"/>
          <w:szCs w:val="24"/>
        </w:rPr>
      </w:pPr>
      <w:r>
        <w:rPr>
          <w:rFonts w:ascii="Arial" w:hAnsi="Arial" w:cs="Arial"/>
          <w:b/>
          <w:sz w:val="24"/>
          <w:szCs w:val="24"/>
        </w:rPr>
        <w:lastRenderedPageBreak/>
        <w:t>Special Educational Needs units attached to four mainstream schools</w:t>
      </w:r>
    </w:p>
    <w:tbl>
      <w:tblPr>
        <w:tblStyle w:val="TableGrid"/>
        <w:tblW w:w="14454" w:type="dxa"/>
        <w:tblLook w:val="04A0" w:firstRow="1" w:lastRow="0" w:firstColumn="1" w:lastColumn="0" w:noHBand="0" w:noVBand="1"/>
      </w:tblPr>
      <w:tblGrid>
        <w:gridCol w:w="1496"/>
        <w:gridCol w:w="1657"/>
        <w:gridCol w:w="1657"/>
        <w:gridCol w:w="1502"/>
        <w:gridCol w:w="1508"/>
        <w:gridCol w:w="6634"/>
      </w:tblGrid>
      <w:tr w:rsidR="00956BEE" w:rsidTr="00956BEE">
        <w:tc>
          <w:tcPr>
            <w:tcW w:w="1496" w:type="dxa"/>
          </w:tcPr>
          <w:p w:rsidR="00956BEE" w:rsidRDefault="00956BEE" w:rsidP="00F10D2C">
            <w:pPr>
              <w:rPr>
                <w:rFonts w:ascii="Arial" w:hAnsi="Arial" w:cs="Arial"/>
                <w:b/>
                <w:sz w:val="24"/>
                <w:szCs w:val="24"/>
              </w:rPr>
            </w:pPr>
            <w:r>
              <w:rPr>
                <w:rFonts w:ascii="Arial" w:hAnsi="Arial" w:cs="Arial"/>
                <w:b/>
                <w:sz w:val="24"/>
                <w:szCs w:val="24"/>
              </w:rPr>
              <w:t>School</w:t>
            </w:r>
          </w:p>
        </w:tc>
        <w:tc>
          <w:tcPr>
            <w:tcW w:w="1657" w:type="dxa"/>
          </w:tcPr>
          <w:p w:rsidR="00956BEE" w:rsidRDefault="00956BEE" w:rsidP="00F10D2C">
            <w:pPr>
              <w:rPr>
                <w:rFonts w:ascii="Arial" w:hAnsi="Arial" w:cs="Arial"/>
                <w:b/>
                <w:sz w:val="24"/>
                <w:szCs w:val="24"/>
              </w:rPr>
            </w:pPr>
          </w:p>
        </w:tc>
        <w:tc>
          <w:tcPr>
            <w:tcW w:w="1657" w:type="dxa"/>
          </w:tcPr>
          <w:p w:rsidR="00956BEE" w:rsidRDefault="00956BEE" w:rsidP="00F10D2C">
            <w:pPr>
              <w:rPr>
                <w:rFonts w:ascii="Arial" w:hAnsi="Arial" w:cs="Arial"/>
                <w:b/>
                <w:sz w:val="24"/>
                <w:szCs w:val="24"/>
              </w:rPr>
            </w:pPr>
            <w:r>
              <w:rPr>
                <w:rFonts w:ascii="Arial" w:hAnsi="Arial" w:cs="Arial"/>
                <w:b/>
                <w:sz w:val="24"/>
                <w:szCs w:val="24"/>
              </w:rPr>
              <w:t>Percentage of respondents</w:t>
            </w:r>
          </w:p>
        </w:tc>
        <w:tc>
          <w:tcPr>
            <w:tcW w:w="1502" w:type="dxa"/>
          </w:tcPr>
          <w:p w:rsidR="00956BEE" w:rsidRDefault="00956BEE" w:rsidP="00F10D2C">
            <w:pPr>
              <w:rPr>
                <w:rFonts w:ascii="Arial" w:hAnsi="Arial" w:cs="Arial"/>
                <w:b/>
                <w:sz w:val="24"/>
                <w:szCs w:val="24"/>
              </w:rPr>
            </w:pPr>
          </w:p>
        </w:tc>
        <w:tc>
          <w:tcPr>
            <w:tcW w:w="1508" w:type="dxa"/>
          </w:tcPr>
          <w:p w:rsidR="00956BEE" w:rsidRDefault="00956BEE" w:rsidP="00F10D2C">
            <w:pPr>
              <w:rPr>
                <w:rFonts w:ascii="Arial" w:hAnsi="Arial" w:cs="Arial"/>
                <w:b/>
                <w:sz w:val="24"/>
                <w:szCs w:val="24"/>
              </w:rPr>
            </w:pPr>
          </w:p>
        </w:tc>
        <w:tc>
          <w:tcPr>
            <w:tcW w:w="6634" w:type="dxa"/>
          </w:tcPr>
          <w:p w:rsidR="00956BEE" w:rsidRDefault="00956BEE" w:rsidP="00F10D2C">
            <w:pPr>
              <w:rPr>
                <w:rFonts w:ascii="Arial" w:hAnsi="Arial" w:cs="Arial"/>
                <w:b/>
                <w:sz w:val="24"/>
                <w:szCs w:val="24"/>
              </w:rPr>
            </w:pPr>
            <w:r>
              <w:rPr>
                <w:rFonts w:ascii="Arial" w:hAnsi="Arial" w:cs="Arial"/>
                <w:b/>
                <w:sz w:val="24"/>
                <w:szCs w:val="24"/>
              </w:rPr>
              <w:t>Overview of comments</w:t>
            </w:r>
          </w:p>
        </w:tc>
      </w:tr>
      <w:tr w:rsidR="00956BEE" w:rsidTr="00956BEE">
        <w:tc>
          <w:tcPr>
            <w:tcW w:w="1496" w:type="dxa"/>
          </w:tcPr>
          <w:p w:rsidR="00956BEE" w:rsidRDefault="00956BEE" w:rsidP="00F10D2C">
            <w:pPr>
              <w:rPr>
                <w:rFonts w:ascii="Arial" w:hAnsi="Arial" w:cs="Arial"/>
                <w:b/>
                <w:sz w:val="24"/>
                <w:szCs w:val="24"/>
              </w:rPr>
            </w:pPr>
          </w:p>
        </w:tc>
        <w:tc>
          <w:tcPr>
            <w:tcW w:w="1657" w:type="dxa"/>
          </w:tcPr>
          <w:p w:rsidR="00956BEE" w:rsidRDefault="00956BEE" w:rsidP="00F10D2C">
            <w:pPr>
              <w:rPr>
                <w:rFonts w:ascii="Arial" w:hAnsi="Arial" w:cs="Arial"/>
                <w:b/>
                <w:sz w:val="24"/>
                <w:szCs w:val="24"/>
              </w:rPr>
            </w:pPr>
            <w:r>
              <w:rPr>
                <w:rFonts w:ascii="Arial" w:hAnsi="Arial" w:cs="Arial"/>
                <w:b/>
                <w:sz w:val="24"/>
                <w:szCs w:val="24"/>
              </w:rPr>
              <w:t>Number of respondents</w:t>
            </w:r>
          </w:p>
        </w:tc>
        <w:tc>
          <w:tcPr>
            <w:tcW w:w="1657" w:type="dxa"/>
          </w:tcPr>
          <w:p w:rsidR="00956BEE" w:rsidRDefault="00956BEE" w:rsidP="00F10D2C">
            <w:pPr>
              <w:rPr>
                <w:rFonts w:ascii="Arial" w:hAnsi="Arial" w:cs="Arial"/>
                <w:b/>
                <w:sz w:val="24"/>
                <w:szCs w:val="24"/>
              </w:rPr>
            </w:pPr>
            <w:r>
              <w:rPr>
                <w:rFonts w:ascii="Arial" w:hAnsi="Arial" w:cs="Arial"/>
                <w:b/>
                <w:sz w:val="24"/>
                <w:szCs w:val="24"/>
              </w:rPr>
              <w:t>Strongly agreed/ tended to agree</w:t>
            </w:r>
          </w:p>
        </w:tc>
        <w:tc>
          <w:tcPr>
            <w:tcW w:w="1502" w:type="dxa"/>
          </w:tcPr>
          <w:p w:rsidR="00956BEE" w:rsidRDefault="00956BEE" w:rsidP="00F10D2C">
            <w:pPr>
              <w:rPr>
                <w:rFonts w:ascii="Arial" w:hAnsi="Arial" w:cs="Arial"/>
                <w:b/>
                <w:sz w:val="24"/>
                <w:szCs w:val="24"/>
              </w:rPr>
            </w:pPr>
            <w:r>
              <w:rPr>
                <w:rFonts w:ascii="Arial" w:hAnsi="Arial" w:cs="Arial"/>
                <w:b/>
                <w:sz w:val="24"/>
                <w:szCs w:val="24"/>
              </w:rPr>
              <w:t>Did not agree or disagree</w:t>
            </w:r>
          </w:p>
        </w:tc>
        <w:tc>
          <w:tcPr>
            <w:tcW w:w="1508" w:type="dxa"/>
          </w:tcPr>
          <w:p w:rsidR="00956BEE" w:rsidRDefault="00956BEE" w:rsidP="00F10D2C">
            <w:pPr>
              <w:rPr>
                <w:rFonts w:ascii="Arial" w:hAnsi="Arial" w:cs="Arial"/>
                <w:b/>
                <w:sz w:val="24"/>
                <w:szCs w:val="24"/>
              </w:rPr>
            </w:pPr>
            <w:r>
              <w:rPr>
                <w:rFonts w:ascii="Arial" w:hAnsi="Arial" w:cs="Arial"/>
                <w:b/>
                <w:sz w:val="24"/>
                <w:szCs w:val="24"/>
              </w:rPr>
              <w:t>Strongly disagreed/ tended not to agree</w:t>
            </w:r>
          </w:p>
        </w:tc>
        <w:tc>
          <w:tcPr>
            <w:tcW w:w="6634" w:type="dxa"/>
          </w:tcPr>
          <w:p w:rsidR="00956BEE" w:rsidRDefault="00956BEE" w:rsidP="00F10D2C">
            <w:pPr>
              <w:rPr>
                <w:rFonts w:ascii="Arial" w:hAnsi="Arial" w:cs="Arial"/>
                <w:b/>
                <w:sz w:val="24"/>
                <w:szCs w:val="24"/>
              </w:rPr>
            </w:pPr>
          </w:p>
        </w:tc>
      </w:tr>
      <w:tr w:rsidR="00956BEE" w:rsidTr="00956BEE">
        <w:tc>
          <w:tcPr>
            <w:tcW w:w="1496" w:type="dxa"/>
          </w:tcPr>
          <w:p w:rsidR="00956BEE" w:rsidRPr="00573D32" w:rsidRDefault="00956BEE" w:rsidP="00F10D2C">
            <w:pPr>
              <w:rPr>
                <w:rFonts w:ascii="Arial" w:hAnsi="Arial" w:cs="Arial"/>
                <w:sz w:val="24"/>
                <w:szCs w:val="24"/>
              </w:rPr>
            </w:pPr>
            <w:r>
              <w:rPr>
                <w:rFonts w:ascii="Arial" w:hAnsi="Arial" w:cs="Arial"/>
                <w:sz w:val="24"/>
                <w:szCs w:val="24"/>
              </w:rPr>
              <w:t xml:space="preserve">Barrowford Primary </w:t>
            </w:r>
          </w:p>
        </w:tc>
        <w:tc>
          <w:tcPr>
            <w:tcW w:w="1657" w:type="dxa"/>
          </w:tcPr>
          <w:p w:rsidR="00956BEE" w:rsidRPr="00573D32" w:rsidRDefault="00956BEE" w:rsidP="00F10D2C">
            <w:pPr>
              <w:jc w:val="center"/>
              <w:rPr>
                <w:rFonts w:ascii="Arial" w:hAnsi="Arial" w:cs="Arial"/>
                <w:sz w:val="24"/>
                <w:szCs w:val="24"/>
              </w:rPr>
            </w:pPr>
            <w:r>
              <w:rPr>
                <w:rFonts w:ascii="Arial" w:hAnsi="Arial" w:cs="Arial"/>
                <w:sz w:val="24"/>
                <w:szCs w:val="24"/>
              </w:rPr>
              <w:t>21</w:t>
            </w:r>
          </w:p>
        </w:tc>
        <w:tc>
          <w:tcPr>
            <w:tcW w:w="1657" w:type="dxa"/>
          </w:tcPr>
          <w:p w:rsidR="00956BEE" w:rsidRPr="00573D32" w:rsidRDefault="00956BEE" w:rsidP="00F10D2C">
            <w:pPr>
              <w:jc w:val="center"/>
              <w:rPr>
                <w:rFonts w:ascii="Arial" w:hAnsi="Arial" w:cs="Arial"/>
                <w:sz w:val="24"/>
                <w:szCs w:val="24"/>
              </w:rPr>
            </w:pPr>
            <w:r>
              <w:rPr>
                <w:rFonts w:ascii="Arial" w:hAnsi="Arial" w:cs="Arial"/>
                <w:sz w:val="24"/>
                <w:szCs w:val="24"/>
              </w:rPr>
              <w:t>90%</w:t>
            </w:r>
          </w:p>
        </w:tc>
        <w:tc>
          <w:tcPr>
            <w:tcW w:w="1502" w:type="dxa"/>
          </w:tcPr>
          <w:p w:rsidR="00956BEE" w:rsidRPr="00573D32" w:rsidRDefault="00956BEE" w:rsidP="00F10D2C">
            <w:pPr>
              <w:jc w:val="center"/>
              <w:rPr>
                <w:rFonts w:ascii="Arial" w:hAnsi="Arial" w:cs="Arial"/>
                <w:sz w:val="24"/>
                <w:szCs w:val="24"/>
              </w:rPr>
            </w:pPr>
            <w:r>
              <w:rPr>
                <w:rFonts w:ascii="Arial" w:hAnsi="Arial" w:cs="Arial"/>
                <w:sz w:val="24"/>
                <w:szCs w:val="24"/>
              </w:rPr>
              <w:t>5%</w:t>
            </w:r>
          </w:p>
        </w:tc>
        <w:tc>
          <w:tcPr>
            <w:tcW w:w="1508" w:type="dxa"/>
          </w:tcPr>
          <w:p w:rsidR="00956BEE" w:rsidRPr="00573D32" w:rsidRDefault="00956BEE" w:rsidP="00F10D2C">
            <w:pPr>
              <w:jc w:val="center"/>
              <w:rPr>
                <w:rFonts w:ascii="Arial" w:hAnsi="Arial" w:cs="Arial"/>
                <w:sz w:val="24"/>
                <w:szCs w:val="24"/>
              </w:rPr>
            </w:pPr>
            <w:r>
              <w:rPr>
                <w:rFonts w:ascii="Arial" w:hAnsi="Arial" w:cs="Arial"/>
                <w:sz w:val="24"/>
                <w:szCs w:val="24"/>
              </w:rPr>
              <w:t>5%</w:t>
            </w:r>
          </w:p>
        </w:tc>
        <w:tc>
          <w:tcPr>
            <w:tcW w:w="6634" w:type="dxa"/>
          </w:tcPr>
          <w:p w:rsidR="00956BEE" w:rsidRPr="00573D32" w:rsidRDefault="001C2B42" w:rsidP="001C2B42">
            <w:pPr>
              <w:rPr>
                <w:rFonts w:ascii="Arial" w:hAnsi="Arial" w:cs="Arial"/>
                <w:sz w:val="24"/>
                <w:szCs w:val="24"/>
              </w:rPr>
            </w:pPr>
            <w:r>
              <w:rPr>
                <w:rFonts w:ascii="Arial" w:hAnsi="Arial" w:cs="Arial"/>
                <w:sz w:val="24"/>
                <w:szCs w:val="24"/>
              </w:rPr>
              <w:t xml:space="preserve">Most of those who were supportive of the creation of a special educational needs unit </w:t>
            </w:r>
            <w:r w:rsidR="00956BEE">
              <w:rPr>
                <w:rFonts w:ascii="Arial" w:hAnsi="Arial" w:cs="Arial"/>
                <w:sz w:val="24"/>
                <w:szCs w:val="24"/>
              </w:rPr>
              <w:t>mad</w:t>
            </w:r>
            <w:r>
              <w:rPr>
                <w:rFonts w:ascii="Arial" w:hAnsi="Arial" w:cs="Arial"/>
                <w:sz w:val="24"/>
                <w:szCs w:val="24"/>
              </w:rPr>
              <w:t>e reference to existing</w:t>
            </w:r>
            <w:r w:rsidR="00956BEE">
              <w:rPr>
                <w:rFonts w:ascii="Arial" w:hAnsi="Arial" w:cs="Arial"/>
                <w:sz w:val="24"/>
                <w:szCs w:val="24"/>
              </w:rPr>
              <w:t xml:space="preserve"> expertise and</w:t>
            </w:r>
            <w:r>
              <w:rPr>
                <w:rFonts w:ascii="Arial" w:hAnsi="Arial" w:cs="Arial"/>
                <w:sz w:val="24"/>
                <w:szCs w:val="24"/>
              </w:rPr>
              <w:t xml:space="preserve"> the</w:t>
            </w:r>
            <w:r w:rsidR="00956BEE">
              <w:rPr>
                <w:rFonts w:ascii="Arial" w:hAnsi="Arial" w:cs="Arial"/>
                <w:sz w:val="24"/>
                <w:szCs w:val="24"/>
              </w:rPr>
              <w:t xml:space="preserve"> nurturing environment</w:t>
            </w:r>
            <w:r>
              <w:rPr>
                <w:rFonts w:ascii="Arial" w:hAnsi="Arial" w:cs="Arial"/>
                <w:sz w:val="24"/>
                <w:szCs w:val="24"/>
              </w:rPr>
              <w:t xml:space="preserve"> already</w:t>
            </w:r>
            <w:r w:rsidR="00956BEE">
              <w:rPr>
                <w:rFonts w:ascii="Arial" w:hAnsi="Arial" w:cs="Arial"/>
                <w:sz w:val="24"/>
                <w:szCs w:val="24"/>
              </w:rPr>
              <w:t xml:space="preserve"> </w:t>
            </w:r>
            <w:r>
              <w:rPr>
                <w:rFonts w:ascii="Arial" w:hAnsi="Arial" w:cs="Arial"/>
                <w:sz w:val="24"/>
                <w:szCs w:val="24"/>
              </w:rPr>
              <w:t>provided by</w:t>
            </w:r>
            <w:r w:rsidR="00956BEE">
              <w:rPr>
                <w:rFonts w:ascii="Arial" w:hAnsi="Arial" w:cs="Arial"/>
                <w:sz w:val="24"/>
                <w:szCs w:val="24"/>
              </w:rPr>
              <w:t xml:space="preserve"> the school.</w:t>
            </w:r>
            <w:r w:rsidR="002E1E0F">
              <w:rPr>
                <w:rFonts w:ascii="Arial" w:hAnsi="Arial" w:cs="Arial"/>
                <w:sz w:val="24"/>
                <w:szCs w:val="24"/>
              </w:rPr>
              <w:t xml:space="preserve"> </w:t>
            </w:r>
            <w:r w:rsidR="00956BEE">
              <w:rPr>
                <w:rFonts w:ascii="Arial" w:hAnsi="Arial" w:cs="Arial"/>
                <w:sz w:val="24"/>
                <w:szCs w:val="24"/>
              </w:rPr>
              <w:t>There were 3 comments that identified concerns</w:t>
            </w:r>
            <w:r w:rsidR="002E1E0F">
              <w:rPr>
                <w:rFonts w:ascii="Arial" w:hAnsi="Arial" w:cs="Arial"/>
                <w:sz w:val="24"/>
                <w:szCs w:val="24"/>
              </w:rPr>
              <w:t>, although 2 of these were from respondents who were in support of the proposal</w:t>
            </w:r>
            <w:r w:rsidR="00956BEE">
              <w:rPr>
                <w:rFonts w:ascii="Arial" w:hAnsi="Arial" w:cs="Arial"/>
                <w:sz w:val="24"/>
                <w:szCs w:val="24"/>
              </w:rPr>
              <w:t>. These related to the potential impact of this provision on mainstream pupils and whether there was sufficient space available to accommodate a unit.</w:t>
            </w:r>
            <w:r>
              <w:rPr>
                <w:rFonts w:ascii="Arial" w:hAnsi="Arial" w:cs="Arial"/>
                <w:sz w:val="24"/>
                <w:szCs w:val="24"/>
              </w:rPr>
              <w:t xml:space="preserve"> 7 respondents identified themselves as parents of children with special educational needs.</w:t>
            </w:r>
          </w:p>
        </w:tc>
      </w:tr>
      <w:tr w:rsidR="00956BEE" w:rsidTr="00956BEE">
        <w:tc>
          <w:tcPr>
            <w:tcW w:w="1496" w:type="dxa"/>
          </w:tcPr>
          <w:p w:rsidR="00956BEE" w:rsidRPr="00573D32" w:rsidRDefault="00956BEE" w:rsidP="00E745CD">
            <w:pPr>
              <w:rPr>
                <w:rFonts w:ascii="Arial" w:hAnsi="Arial" w:cs="Arial"/>
                <w:sz w:val="24"/>
                <w:szCs w:val="24"/>
              </w:rPr>
            </w:pPr>
            <w:r>
              <w:rPr>
                <w:rFonts w:ascii="Arial" w:hAnsi="Arial" w:cs="Arial"/>
                <w:sz w:val="24"/>
                <w:szCs w:val="24"/>
              </w:rPr>
              <w:t>Lytham CEP</w:t>
            </w:r>
          </w:p>
        </w:tc>
        <w:tc>
          <w:tcPr>
            <w:tcW w:w="1657" w:type="dxa"/>
          </w:tcPr>
          <w:p w:rsidR="00956BEE" w:rsidRPr="00573D32" w:rsidRDefault="00E474C4" w:rsidP="00F10D2C">
            <w:pPr>
              <w:jc w:val="center"/>
              <w:rPr>
                <w:rFonts w:ascii="Arial" w:hAnsi="Arial" w:cs="Arial"/>
                <w:sz w:val="24"/>
                <w:szCs w:val="24"/>
              </w:rPr>
            </w:pPr>
            <w:r>
              <w:rPr>
                <w:rFonts w:ascii="Arial" w:hAnsi="Arial" w:cs="Arial"/>
                <w:sz w:val="24"/>
                <w:szCs w:val="24"/>
              </w:rPr>
              <w:t>53</w:t>
            </w:r>
          </w:p>
        </w:tc>
        <w:tc>
          <w:tcPr>
            <w:tcW w:w="1657" w:type="dxa"/>
          </w:tcPr>
          <w:p w:rsidR="00956BEE" w:rsidRPr="00573D32" w:rsidRDefault="00400F76" w:rsidP="00F10D2C">
            <w:pPr>
              <w:jc w:val="center"/>
              <w:rPr>
                <w:rFonts w:ascii="Arial" w:hAnsi="Arial" w:cs="Arial"/>
                <w:sz w:val="24"/>
                <w:szCs w:val="24"/>
              </w:rPr>
            </w:pPr>
            <w:r>
              <w:rPr>
                <w:rFonts w:ascii="Arial" w:hAnsi="Arial" w:cs="Arial"/>
                <w:sz w:val="24"/>
                <w:szCs w:val="24"/>
              </w:rPr>
              <w:t>71</w:t>
            </w:r>
            <w:bookmarkStart w:id="0" w:name="_GoBack"/>
            <w:bookmarkEnd w:id="0"/>
            <w:r w:rsidR="00956BEE">
              <w:rPr>
                <w:rFonts w:ascii="Arial" w:hAnsi="Arial" w:cs="Arial"/>
                <w:sz w:val="24"/>
                <w:szCs w:val="24"/>
              </w:rPr>
              <w:t>%</w:t>
            </w:r>
          </w:p>
        </w:tc>
        <w:tc>
          <w:tcPr>
            <w:tcW w:w="1502" w:type="dxa"/>
          </w:tcPr>
          <w:p w:rsidR="00956BEE" w:rsidRPr="00573D32" w:rsidRDefault="00E81DD5" w:rsidP="00F10D2C">
            <w:pPr>
              <w:jc w:val="center"/>
              <w:rPr>
                <w:rFonts w:ascii="Arial" w:hAnsi="Arial" w:cs="Arial"/>
                <w:sz w:val="24"/>
                <w:szCs w:val="24"/>
              </w:rPr>
            </w:pPr>
            <w:r>
              <w:rPr>
                <w:rFonts w:ascii="Arial" w:hAnsi="Arial" w:cs="Arial"/>
                <w:sz w:val="24"/>
                <w:szCs w:val="24"/>
              </w:rPr>
              <w:t>4</w:t>
            </w:r>
            <w:r w:rsidR="00956BEE">
              <w:rPr>
                <w:rFonts w:ascii="Arial" w:hAnsi="Arial" w:cs="Arial"/>
                <w:sz w:val="24"/>
                <w:szCs w:val="24"/>
              </w:rPr>
              <w:t>%</w:t>
            </w:r>
          </w:p>
        </w:tc>
        <w:tc>
          <w:tcPr>
            <w:tcW w:w="1508" w:type="dxa"/>
          </w:tcPr>
          <w:p w:rsidR="00956BEE" w:rsidRPr="00573D32" w:rsidRDefault="00E75BB3" w:rsidP="00F10D2C">
            <w:pPr>
              <w:jc w:val="center"/>
              <w:rPr>
                <w:rFonts w:ascii="Arial" w:hAnsi="Arial" w:cs="Arial"/>
                <w:sz w:val="24"/>
                <w:szCs w:val="24"/>
              </w:rPr>
            </w:pPr>
            <w:r>
              <w:rPr>
                <w:rFonts w:ascii="Arial" w:hAnsi="Arial" w:cs="Arial"/>
                <w:sz w:val="24"/>
                <w:szCs w:val="24"/>
              </w:rPr>
              <w:t>26</w:t>
            </w:r>
            <w:r w:rsidR="00956BEE">
              <w:rPr>
                <w:rFonts w:ascii="Arial" w:hAnsi="Arial" w:cs="Arial"/>
                <w:sz w:val="24"/>
                <w:szCs w:val="24"/>
              </w:rPr>
              <w:t>%</w:t>
            </w:r>
          </w:p>
        </w:tc>
        <w:tc>
          <w:tcPr>
            <w:tcW w:w="6634" w:type="dxa"/>
          </w:tcPr>
          <w:p w:rsidR="00956BEE" w:rsidRPr="00573D32" w:rsidRDefault="00956BEE" w:rsidP="001C2B42">
            <w:pPr>
              <w:rPr>
                <w:rFonts w:ascii="Arial" w:hAnsi="Arial" w:cs="Arial"/>
                <w:sz w:val="24"/>
                <w:szCs w:val="24"/>
              </w:rPr>
            </w:pPr>
            <w:r>
              <w:rPr>
                <w:rFonts w:ascii="Arial" w:hAnsi="Arial" w:cs="Arial"/>
                <w:sz w:val="24"/>
                <w:szCs w:val="24"/>
              </w:rPr>
              <w:t xml:space="preserve">¾ of respondents that provided a comment </w:t>
            </w:r>
            <w:r w:rsidR="001C2B42">
              <w:rPr>
                <w:rFonts w:ascii="Arial" w:hAnsi="Arial" w:cs="Arial"/>
                <w:sz w:val="24"/>
                <w:szCs w:val="24"/>
              </w:rPr>
              <w:t>state</w:t>
            </w:r>
            <w:r>
              <w:rPr>
                <w:rFonts w:ascii="Arial" w:hAnsi="Arial" w:cs="Arial"/>
                <w:sz w:val="24"/>
                <w:szCs w:val="24"/>
              </w:rPr>
              <w:t>d the proposal would fill a gap in provision</w:t>
            </w:r>
            <w:r w:rsidR="001C2B42">
              <w:rPr>
                <w:rFonts w:ascii="Arial" w:hAnsi="Arial" w:cs="Arial"/>
                <w:sz w:val="24"/>
                <w:szCs w:val="24"/>
              </w:rPr>
              <w:t xml:space="preserve"> for pupils with autism</w:t>
            </w:r>
            <w:r>
              <w:rPr>
                <w:rFonts w:ascii="Arial" w:hAnsi="Arial" w:cs="Arial"/>
                <w:sz w:val="24"/>
                <w:szCs w:val="24"/>
              </w:rPr>
              <w:t xml:space="preserve"> in the local area, that it would build on current good practice within the school or that it would bring particular benefits to </w:t>
            </w:r>
            <w:r w:rsidR="00214C6E">
              <w:rPr>
                <w:rFonts w:ascii="Arial" w:hAnsi="Arial" w:cs="Arial"/>
                <w:sz w:val="24"/>
                <w:szCs w:val="24"/>
              </w:rPr>
              <w:t>children with special educational needs</w:t>
            </w:r>
            <w:r>
              <w:rPr>
                <w:rFonts w:ascii="Arial" w:hAnsi="Arial" w:cs="Arial"/>
                <w:sz w:val="24"/>
                <w:szCs w:val="24"/>
              </w:rPr>
              <w:t xml:space="preserve">. </w:t>
            </w:r>
            <w:r w:rsidR="006B482D">
              <w:rPr>
                <w:rFonts w:ascii="Arial" w:hAnsi="Arial" w:cs="Arial"/>
                <w:sz w:val="24"/>
                <w:szCs w:val="24"/>
              </w:rPr>
              <w:t>Concerns raised by a</w:t>
            </w:r>
            <w:r>
              <w:rPr>
                <w:rFonts w:ascii="Arial" w:hAnsi="Arial" w:cs="Arial"/>
                <w:sz w:val="24"/>
                <w:szCs w:val="24"/>
              </w:rPr>
              <w:t>pproximately 30% of respondents</w:t>
            </w:r>
            <w:r w:rsidR="006B482D">
              <w:rPr>
                <w:rFonts w:ascii="Arial" w:hAnsi="Arial" w:cs="Arial"/>
                <w:sz w:val="24"/>
                <w:szCs w:val="24"/>
              </w:rPr>
              <w:t xml:space="preserve"> related primarily to the impact pupils attending the unit might have on the education of others, class sizes and the level of support that </w:t>
            </w:r>
            <w:r w:rsidR="00E75BB3">
              <w:rPr>
                <w:rFonts w:ascii="Arial" w:hAnsi="Arial" w:cs="Arial"/>
                <w:sz w:val="24"/>
                <w:szCs w:val="24"/>
              </w:rPr>
              <w:t>is</w:t>
            </w:r>
            <w:r w:rsidR="006B482D">
              <w:rPr>
                <w:rFonts w:ascii="Arial" w:hAnsi="Arial" w:cs="Arial"/>
                <w:sz w:val="24"/>
                <w:szCs w:val="24"/>
              </w:rPr>
              <w:t xml:space="preserve"> available for pupils with special educational needs</w:t>
            </w:r>
            <w:r>
              <w:rPr>
                <w:rFonts w:ascii="Arial" w:hAnsi="Arial" w:cs="Arial"/>
                <w:sz w:val="24"/>
                <w:szCs w:val="24"/>
              </w:rPr>
              <w:t>.</w:t>
            </w:r>
            <w:r w:rsidR="006B482D">
              <w:rPr>
                <w:rFonts w:ascii="Arial" w:hAnsi="Arial" w:cs="Arial"/>
                <w:sz w:val="24"/>
                <w:szCs w:val="24"/>
              </w:rPr>
              <w:t xml:space="preserve"> 46</w:t>
            </w:r>
            <w:r>
              <w:rPr>
                <w:rFonts w:ascii="Arial" w:hAnsi="Arial" w:cs="Arial"/>
                <w:sz w:val="24"/>
                <w:szCs w:val="24"/>
              </w:rPr>
              <w:t xml:space="preserve">% respondents were parents or carers of children </w:t>
            </w:r>
            <w:r w:rsidR="006B482D">
              <w:rPr>
                <w:rFonts w:ascii="Arial" w:hAnsi="Arial" w:cs="Arial"/>
                <w:sz w:val="24"/>
                <w:szCs w:val="24"/>
              </w:rPr>
              <w:t>already attending the school</w:t>
            </w:r>
            <w:r w:rsidR="00214C6E">
              <w:rPr>
                <w:rFonts w:ascii="Arial" w:hAnsi="Arial" w:cs="Arial"/>
                <w:sz w:val="24"/>
                <w:szCs w:val="24"/>
              </w:rPr>
              <w:t xml:space="preserve"> and 34% identified themselves as school staff</w:t>
            </w:r>
            <w:r w:rsidR="006B482D">
              <w:rPr>
                <w:rFonts w:ascii="Arial" w:hAnsi="Arial" w:cs="Arial"/>
                <w:sz w:val="24"/>
                <w:szCs w:val="24"/>
              </w:rPr>
              <w:t xml:space="preserve">. 86% respondents </w:t>
            </w:r>
            <w:r>
              <w:rPr>
                <w:rFonts w:ascii="Arial" w:hAnsi="Arial" w:cs="Arial"/>
                <w:sz w:val="24"/>
                <w:szCs w:val="24"/>
              </w:rPr>
              <w:t>did not have children with special educational needs.</w:t>
            </w:r>
          </w:p>
        </w:tc>
      </w:tr>
    </w:tbl>
    <w:p w:rsidR="00956BEE" w:rsidRDefault="00956BEE">
      <w:r>
        <w:br w:type="page"/>
      </w:r>
    </w:p>
    <w:tbl>
      <w:tblPr>
        <w:tblStyle w:val="TableGrid"/>
        <w:tblW w:w="14454" w:type="dxa"/>
        <w:tblLook w:val="04A0" w:firstRow="1" w:lastRow="0" w:firstColumn="1" w:lastColumn="0" w:noHBand="0" w:noVBand="1"/>
      </w:tblPr>
      <w:tblGrid>
        <w:gridCol w:w="1496"/>
        <w:gridCol w:w="1657"/>
        <w:gridCol w:w="1657"/>
        <w:gridCol w:w="1502"/>
        <w:gridCol w:w="1508"/>
        <w:gridCol w:w="6634"/>
      </w:tblGrid>
      <w:tr w:rsidR="00956BEE" w:rsidTr="00956BEE">
        <w:tc>
          <w:tcPr>
            <w:tcW w:w="1496" w:type="dxa"/>
          </w:tcPr>
          <w:p w:rsidR="00956BEE" w:rsidRDefault="00956BEE" w:rsidP="00F10D2C">
            <w:pPr>
              <w:rPr>
                <w:rFonts w:ascii="Arial" w:hAnsi="Arial" w:cs="Arial"/>
                <w:b/>
                <w:sz w:val="24"/>
                <w:szCs w:val="24"/>
              </w:rPr>
            </w:pPr>
            <w:r>
              <w:rPr>
                <w:rFonts w:ascii="Arial" w:hAnsi="Arial" w:cs="Arial"/>
                <w:b/>
                <w:sz w:val="24"/>
                <w:szCs w:val="24"/>
              </w:rPr>
              <w:lastRenderedPageBreak/>
              <w:t>School</w:t>
            </w:r>
          </w:p>
        </w:tc>
        <w:tc>
          <w:tcPr>
            <w:tcW w:w="1657" w:type="dxa"/>
          </w:tcPr>
          <w:p w:rsidR="00956BEE" w:rsidRDefault="00956BEE" w:rsidP="00F10D2C">
            <w:pPr>
              <w:rPr>
                <w:rFonts w:ascii="Arial" w:hAnsi="Arial" w:cs="Arial"/>
                <w:b/>
                <w:sz w:val="24"/>
                <w:szCs w:val="24"/>
              </w:rPr>
            </w:pPr>
          </w:p>
        </w:tc>
        <w:tc>
          <w:tcPr>
            <w:tcW w:w="1657" w:type="dxa"/>
          </w:tcPr>
          <w:p w:rsidR="00956BEE" w:rsidRDefault="00956BEE" w:rsidP="00F10D2C">
            <w:pPr>
              <w:rPr>
                <w:rFonts w:ascii="Arial" w:hAnsi="Arial" w:cs="Arial"/>
                <w:b/>
                <w:sz w:val="24"/>
                <w:szCs w:val="24"/>
              </w:rPr>
            </w:pPr>
            <w:r>
              <w:rPr>
                <w:rFonts w:ascii="Arial" w:hAnsi="Arial" w:cs="Arial"/>
                <w:b/>
                <w:sz w:val="24"/>
                <w:szCs w:val="24"/>
              </w:rPr>
              <w:t>Percentage of respondents</w:t>
            </w:r>
          </w:p>
        </w:tc>
        <w:tc>
          <w:tcPr>
            <w:tcW w:w="1502" w:type="dxa"/>
          </w:tcPr>
          <w:p w:rsidR="00956BEE" w:rsidRDefault="00956BEE" w:rsidP="00F10D2C">
            <w:pPr>
              <w:rPr>
                <w:rFonts w:ascii="Arial" w:hAnsi="Arial" w:cs="Arial"/>
                <w:b/>
                <w:sz w:val="24"/>
                <w:szCs w:val="24"/>
              </w:rPr>
            </w:pPr>
          </w:p>
        </w:tc>
        <w:tc>
          <w:tcPr>
            <w:tcW w:w="1508" w:type="dxa"/>
          </w:tcPr>
          <w:p w:rsidR="00956BEE" w:rsidRDefault="00956BEE" w:rsidP="00F10D2C">
            <w:pPr>
              <w:rPr>
                <w:rFonts w:ascii="Arial" w:hAnsi="Arial" w:cs="Arial"/>
                <w:b/>
                <w:sz w:val="24"/>
                <w:szCs w:val="24"/>
              </w:rPr>
            </w:pPr>
          </w:p>
        </w:tc>
        <w:tc>
          <w:tcPr>
            <w:tcW w:w="6634" w:type="dxa"/>
          </w:tcPr>
          <w:p w:rsidR="00956BEE" w:rsidRDefault="00956BEE" w:rsidP="00F10D2C">
            <w:pPr>
              <w:rPr>
                <w:rFonts w:ascii="Arial" w:hAnsi="Arial" w:cs="Arial"/>
                <w:b/>
                <w:sz w:val="24"/>
                <w:szCs w:val="24"/>
              </w:rPr>
            </w:pPr>
            <w:r>
              <w:rPr>
                <w:rFonts w:ascii="Arial" w:hAnsi="Arial" w:cs="Arial"/>
                <w:b/>
                <w:sz w:val="24"/>
                <w:szCs w:val="24"/>
              </w:rPr>
              <w:t>Overview of comments</w:t>
            </w:r>
          </w:p>
        </w:tc>
      </w:tr>
      <w:tr w:rsidR="00956BEE" w:rsidTr="00956BEE">
        <w:tc>
          <w:tcPr>
            <w:tcW w:w="1496" w:type="dxa"/>
          </w:tcPr>
          <w:p w:rsidR="00956BEE" w:rsidRDefault="00956BEE" w:rsidP="00F10D2C">
            <w:pPr>
              <w:rPr>
                <w:rFonts w:ascii="Arial" w:hAnsi="Arial" w:cs="Arial"/>
                <w:b/>
                <w:sz w:val="24"/>
                <w:szCs w:val="24"/>
              </w:rPr>
            </w:pPr>
          </w:p>
        </w:tc>
        <w:tc>
          <w:tcPr>
            <w:tcW w:w="1657" w:type="dxa"/>
          </w:tcPr>
          <w:p w:rsidR="00956BEE" w:rsidRDefault="00956BEE" w:rsidP="00F10D2C">
            <w:pPr>
              <w:rPr>
                <w:rFonts w:ascii="Arial" w:hAnsi="Arial" w:cs="Arial"/>
                <w:b/>
                <w:sz w:val="24"/>
                <w:szCs w:val="24"/>
              </w:rPr>
            </w:pPr>
            <w:r>
              <w:rPr>
                <w:rFonts w:ascii="Arial" w:hAnsi="Arial" w:cs="Arial"/>
                <w:b/>
                <w:sz w:val="24"/>
                <w:szCs w:val="24"/>
              </w:rPr>
              <w:t>Number of respondents</w:t>
            </w:r>
          </w:p>
        </w:tc>
        <w:tc>
          <w:tcPr>
            <w:tcW w:w="1657" w:type="dxa"/>
          </w:tcPr>
          <w:p w:rsidR="00956BEE" w:rsidRDefault="00956BEE" w:rsidP="00F10D2C">
            <w:pPr>
              <w:rPr>
                <w:rFonts w:ascii="Arial" w:hAnsi="Arial" w:cs="Arial"/>
                <w:b/>
                <w:sz w:val="24"/>
                <w:szCs w:val="24"/>
              </w:rPr>
            </w:pPr>
            <w:r>
              <w:rPr>
                <w:rFonts w:ascii="Arial" w:hAnsi="Arial" w:cs="Arial"/>
                <w:b/>
                <w:sz w:val="24"/>
                <w:szCs w:val="24"/>
              </w:rPr>
              <w:t>Strongly agreed/ tended to agree</w:t>
            </w:r>
          </w:p>
        </w:tc>
        <w:tc>
          <w:tcPr>
            <w:tcW w:w="1502" w:type="dxa"/>
          </w:tcPr>
          <w:p w:rsidR="00956BEE" w:rsidRDefault="00956BEE" w:rsidP="00F10D2C">
            <w:pPr>
              <w:rPr>
                <w:rFonts w:ascii="Arial" w:hAnsi="Arial" w:cs="Arial"/>
                <w:b/>
                <w:sz w:val="24"/>
                <w:szCs w:val="24"/>
              </w:rPr>
            </w:pPr>
            <w:r>
              <w:rPr>
                <w:rFonts w:ascii="Arial" w:hAnsi="Arial" w:cs="Arial"/>
                <w:b/>
                <w:sz w:val="24"/>
                <w:szCs w:val="24"/>
              </w:rPr>
              <w:t>Did not agree or disagree</w:t>
            </w:r>
          </w:p>
        </w:tc>
        <w:tc>
          <w:tcPr>
            <w:tcW w:w="1508" w:type="dxa"/>
          </w:tcPr>
          <w:p w:rsidR="00956BEE" w:rsidRDefault="00956BEE" w:rsidP="00F10D2C">
            <w:pPr>
              <w:rPr>
                <w:rFonts w:ascii="Arial" w:hAnsi="Arial" w:cs="Arial"/>
                <w:b/>
                <w:sz w:val="24"/>
                <w:szCs w:val="24"/>
              </w:rPr>
            </w:pPr>
            <w:r>
              <w:rPr>
                <w:rFonts w:ascii="Arial" w:hAnsi="Arial" w:cs="Arial"/>
                <w:b/>
                <w:sz w:val="24"/>
                <w:szCs w:val="24"/>
              </w:rPr>
              <w:t>Strongly disagreed/ tended not to agree</w:t>
            </w:r>
          </w:p>
        </w:tc>
        <w:tc>
          <w:tcPr>
            <w:tcW w:w="6634" w:type="dxa"/>
          </w:tcPr>
          <w:p w:rsidR="00956BEE" w:rsidRDefault="00956BEE" w:rsidP="00F10D2C">
            <w:pPr>
              <w:rPr>
                <w:rFonts w:ascii="Arial" w:hAnsi="Arial" w:cs="Arial"/>
                <w:b/>
                <w:sz w:val="24"/>
                <w:szCs w:val="24"/>
              </w:rPr>
            </w:pPr>
          </w:p>
        </w:tc>
      </w:tr>
      <w:tr w:rsidR="00956BEE" w:rsidTr="00956BEE">
        <w:tc>
          <w:tcPr>
            <w:tcW w:w="1496" w:type="dxa"/>
          </w:tcPr>
          <w:p w:rsidR="00956BEE" w:rsidRPr="00573D32" w:rsidRDefault="00956BEE" w:rsidP="00F10D2C">
            <w:pPr>
              <w:rPr>
                <w:rFonts w:ascii="Arial" w:hAnsi="Arial" w:cs="Arial"/>
                <w:sz w:val="24"/>
                <w:szCs w:val="24"/>
              </w:rPr>
            </w:pPr>
            <w:r>
              <w:rPr>
                <w:rFonts w:ascii="Arial" w:hAnsi="Arial" w:cs="Arial"/>
                <w:sz w:val="24"/>
                <w:szCs w:val="24"/>
              </w:rPr>
              <w:t>St Leonard's CA CEP</w:t>
            </w:r>
          </w:p>
        </w:tc>
        <w:tc>
          <w:tcPr>
            <w:tcW w:w="1657" w:type="dxa"/>
          </w:tcPr>
          <w:p w:rsidR="00956BEE" w:rsidRPr="00573D32" w:rsidRDefault="002E1E0F" w:rsidP="00F10D2C">
            <w:pPr>
              <w:jc w:val="center"/>
              <w:rPr>
                <w:rFonts w:ascii="Arial" w:hAnsi="Arial" w:cs="Arial"/>
                <w:sz w:val="24"/>
                <w:szCs w:val="24"/>
              </w:rPr>
            </w:pPr>
            <w:r>
              <w:rPr>
                <w:rFonts w:ascii="Arial" w:hAnsi="Arial" w:cs="Arial"/>
                <w:sz w:val="24"/>
                <w:szCs w:val="24"/>
              </w:rPr>
              <w:t>5</w:t>
            </w:r>
            <w:r w:rsidR="00956BEE">
              <w:rPr>
                <w:rFonts w:ascii="Arial" w:hAnsi="Arial" w:cs="Arial"/>
                <w:sz w:val="24"/>
                <w:szCs w:val="24"/>
              </w:rPr>
              <w:t>4</w:t>
            </w:r>
          </w:p>
        </w:tc>
        <w:tc>
          <w:tcPr>
            <w:tcW w:w="1657" w:type="dxa"/>
          </w:tcPr>
          <w:p w:rsidR="00956BEE" w:rsidRPr="00573D32" w:rsidRDefault="002E1E0F" w:rsidP="00F10D2C">
            <w:pPr>
              <w:jc w:val="center"/>
              <w:rPr>
                <w:rFonts w:ascii="Arial" w:hAnsi="Arial" w:cs="Arial"/>
                <w:sz w:val="24"/>
                <w:szCs w:val="24"/>
              </w:rPr>
            </w:pPr>
            <w:r>
              <w:rPr>
                <w:rFonts w:ascii="Arial" w:hAnsi="Arial" w:cs="Arial"/>
                <w:sz w:val="24"/>
                <w:szCs w:val="24"/>
              </w:rPr>
              <w:t>86</w:t>
            </w:r>
            <w:r w:rsidR="00956BEE">
              <w:rPr>
                <w:rFonts w:ascii="Arial" w:hAnsi="Arial" w:cs="Arial"/>
                <w:sz w:val="24"/>
                <w:szCs w:val="24"/>
              </w:rPr>
              <w:t>%</w:t>
            </w:r>
          </w:p>
        </w:tc>
        <w:tc>
          <w:tcPr>
            <w:tcW w:w="1502" w:type="dxa"/>
          </w:tcPr>
          <w:p w:rsidR="00956BEE" w:rsidRPr="00573D32" w:rsidRDefault="002E1E0F" w:rsidP="00F10D2C">
            <w:pPr>
              <w:jc w:val="center"/>
              <w:rPr>
                <w:rFonts w:ascii="Arial" w:hAnsi="Arial" w:cs="Arial"/>
                <w:sz w:val="24"/>
                <w:szCs w:val="24"/>
              </w:rPr>
            </w:pPr>
            <w:r>
              <w:rPr>
                <w:rFonts w:ascii="Arial" w:hAnsi="Arial" w:cs="Arial"/>
                <w:sz w:val="24"/>
                <w:szCs w:val="24"/>
              </w:rPr>
              <w:t>2</w:t>
            </w:r>
            <w:r w:rsidR="00956BEE">
              <w:rPr>
                <w:rFonts w:ascii="Arial" w:hAnsi="Arial" w:cs="Arial"/>
                <w:sz w:val="24"/>
                <w:szCs w:val="24"/>
              </w:rPr>
              <w:t>%</w:t>
            </w:r>
          </w:p>
        </w:tc>
        <w:tc>
          <w:tcPr>
            <w:tcW w:w="1508" w:type="dxa"/>
          </w:tcPr>
          <w:p w:rsidR="00956BEE" w:rsidRPr="00573D32" w:rsidRDefault="00956BEE" w:rsidP="00F10D2C">
            <w:pPr>
              <w:jc w:val="center"/>
              <w:rPr>
                <w:rFonts w:ascii="Arial" w:hAnsi="Arial" w:cs="Arial"/>
                <w:sz w:val="24"/>
                <w:szCs w:val="24"/>
              </w:rPr>
            </w:pPr>
            <w:r>
              <w:rPr>
                <w:rFonts w:ascii="Arial" w:hAnsi="Arial" w:cs="Arial"/>
                <w:sz w:val="24"/>
                <w:szCs w:val="24"/>
              </w:rPr>
              <w:t>12%</w:t>
            </w:r>
          </w:p>
        </w:tc>
        <w:tc>
          <w:tcPr>
            <w:tcW w:w="6634" w:type="dxa"/>
          </w:tcPr>
          <w:p w:rsidR="00956BEE" w:rsidRPr="00573D32" w:rsidRDefault="00956BEE" w:rsidP="00726D59">
            <w:pPr>
              <w:rPr>
                <w:rFonts w:ascii="Arial" w:hAnsi="Arial" w:cs="Arial"/>
                <w:sz w:val="24"/>
                <w:szCs w:val="24"/>
              </w:rPr>
            </w:pPr>
            <w:r>
              <w:rPr>
                <w:rFonts w:ascii="Arial" w:hAnsi="Arial" w:cs="Arial"/>
                <w:sz w:val="24"/>
                <w:szCs w:val="24"/>
              </w:rPr>
              <w:t>More than 80% of respondents that pr</w:t>
            </w:r>
            <w:r w:rsidR="00726D59">
              <w:rPr>
                <w:rFonts w:ascii="Arial" w:hAnsi="Arial" w:cs="Arial"/>
                <w:sz w:val="24"/>
                <w:szCs w:val="24"/>
              </w:rPr>
              <w:t>ovided a comment identified</w:t>
            </w:r>
            <w:r>
              <w:rPr>
                <w:rFonts w:ascii="Arial" w:hAnsi="Arial" w:cs="Arial"/>
                <w:sz w:val="24"/>
                <w:szCs w:val="24"/>
              </w:rPr>
              <w:t xml:space="preserve"> benefits associated with the proposal. These included filling a gap in provision within the local area, building on existing strengths within the school and the advantages </w:t>
            </w:r>
            <w:r w:rsidR="00726D59">
              <w:rPr>
                <w:rFonts w:ascii="Arial" w:hAnsi="Arial" w:cs="Arial"/>
                <w:sz w:val="24"/>
                <w:szCs w:val="24"/>
              </w:rPr>
              <w:t>to</w:t>
            </w:r>
            <w:r>
              <w:rPr>
                <w:rFonts w:ascii="Arial" w:hAnsi="Arial" w:cs="Arial"/>
                <w:sz w:val="24"/>
                <w:szCs w:val="24"/>
              </w:rPr>
              <w:t xml:space="preserve"> all pupils </w:t>
            </w:r>
            <w:r w:rsidR="00726D59">
              <w:rPr>
                <w:rFonts w:ascii="Arial" w:hAnsi="Arial" w:cs="Arial"/>
                <w:sz w:val="24"/>
                <w:szCs w:val="24"/>
              </w:rPr>
              <w:t>of</w:t>
            </w:r>
            <w:r>
              <w:rPr>
                <w:rFonts w:ascii="Arial" w:hAnsi="Arial" w:cs="Arial"/>
                <w:sz w:val="24"/>
                <w:szCs w:val="24"/>
              </w:rPr>
              <w:t xml:space="preserve"> an environment </w:t>
            </w:r>
            <w:r w:rsidR="00726D59">
              <w:rPr>
                <w:rFonts w:ascii="Arial" w:hAnsi="Arial" w:cs="Arial"/>
                <w:sz w:val="24"/>
                <w:szCs w:val="24"/>
              </w:rPr>
              <w:t>that catered for</w:t>
            </w:r>
            <w:r>
              <w:rPr>
                <w:rFonts w:ascii="Arial" w:hAnsi="Arial" w:cs="Arial"/>
                <w:sz w:val="24"/>
                <w:szCs w:val="24"/>
              </w:rPr>
              <w:t xml:space="preserve"> mainstream pupils </w:t>
            </w:r>
            <w:r w:rsidR="00726D59">
              <w:rPr>
                <w:rFonts w:ascii="Arial" w:hAnsi="Arial" w:cs="Arial"/>
                <w:sz w:val="24"/>
                <w:szCs w:val="24"/>
              </w:rPr>
              <w:t>alongside those</w:t>
            </w:r>
            <w:r>
              <w:rPr>
                <w:rFonts w:ascii="Arial" w:hAnsi="Arial" w:cs="Arial"/>
                <w:sz w:val="24"/>
                <w:szCs w:val="24"/>
              </w:rPr>
              <w:t xml:space="preserve"> with special needs.  There were 4 comments that identified concerns. These related to the impact on individual children wit</w:t>
            </w:r>
            <w:r w:rsidR="002C0D89">
              <w:rPr>
                <w:rFonts w:ascii="Arial" w:hAnsi="Arial" w:cs="Arial"/>
                <w:sz w:val="24"/>
                <w:szCs w:val="24"/>
              </w:rPr>
              <w:t xml:space="preserve">hout special needs and whether the school had the resources </w:t>
            </w:r>
            <w:r w:rsidR="00726D59">
              <w:rPr>
                <w:rFonts w:ascii="Arial" w:hAnsi="Arial" w:cs="Arial"/>
                <w:sz w:val="24"/>
                <w:szCs w:val="24"/>
              </w:rPr>
              <w:t>required for</w:t>
            </w:r>
            <w:r w:rsidR="002C0D89">
              <w:rPr>
                <w:rFonts w:ascii="Arial" w:hAnsi="Arial" w:cs="Arial"/>
                <w:sz w:val="24"/>
                <w:szCs w:val="24"/>
              </w:rPr>
              <w:t xml:space="preserve"> a special educational needs unit. 89</w:t>
            </w:r>
            <w:r>
              <w:rPr>
                <w:rFonts w:ascii="Arial" w:hAnsi="Arial" w:cs="Arial"/>
                <w:sz w:val="24"/>
                <w:szCs w:val="24"/>
              </w:rPr>
              <w:t xml:space="preserve">% of respondents had children attending the school and </w:t>
            </w:r>
            <w:r w:rsidR="002C0D89">
              <w:rPr>
                <w:rFonts w:ascii="Arial" w:hAnsi="Arial" w:cs="Arial"/>
                <w:sz w:val="24"/>
                <w:szCs w:val="24"/>
              </w:rPr>
              <w:t>60</w:t>
            </w:r>
            <w:r>
              <w:rPr>
                <w:rFonts w:ascii="Arial" w:hAnsi="Arial" w:cs="Arial"/>
                <w:sz w:val="24"/>
                <w:szCs w:val="24"/>
              </w:rPr>
              <w:t>% of respondents did not have children with special needs.</w:t>
            </w:r>
          </w:p>
        </w:tc>
      </w:tr>
      <w:tr w:rsidR="00956BEE" w:rsidTr="00956BEE">
        <w:tc>
          <w:tcPr>
            <w:tcW w:w="1496" w:type="dxa"/>
          </w:tcPr>
          <w:p w:rsidR="00956BEE" w:rsidRPr="00573D32" w:rsidRDefault="00956BEE" w:rsidP="00956BEE">
            <w:pPr>
              <w:rPr>
                <w:rFonts w:ascii="Arial" w:hAnsi="Arial" w:cs="Arial"/>
                <w:sz w:val="24"/>
                <w:szCs w:val="24"/>
              </w:rPr>
            </w:pPr>
            <w:r>
              <w:rPr>
                <w:rFonts w:ascii="Arial" w:hAnsi="Arial" w:cs="Arial"/>
                <w:sz w:val="24"/>
                <w:szCs w:val="24"/>
              </w:rPr>
              <w:t>Weeton Primary</w:t>
            </w:r>
          </w:p>
        </w:tc>
        <w:tc>
          <w:tcPr>
            <w:tcW w:w="1657" w:type="dxa"/>
          </w:tcPr>
          <w:p w:rsidR="00956BEE" w:rsidRPr="00573D32" w:rsidRDefault="0062409B" w:rsidP="00F10D2C">
            <w:pPr>
              <w:jc w:val="center"/>
              <w:rPr>
                <w:rFonts w:ascii="Arial" w:hAnsi="Arial" w:cs="Arial"/>
                <w:sz w:val="24"/>
                <w:szCs w:val="24"/>
              </w:rPr>
            </w:pPr>
            <w:r>
              <w:rPr>
                <w:rFonts w:ascii="Arial" w:hAnsi="Arial" w:cs="Arial"/>
                <w:sz w:val="24"/>
                <w:szCs w:val="24"/>
              </w:rPr>
              <w:t>58</w:t>
            </w:r>
          </w:p>
        </w:tc>
        <w:tc>
          <w:tcPr>
            <w:tcW w:w="1657" w:type="dxa"/>
          </w:tcPr>
          <w:p w:rsidR="00956BEE" w:rsidRPr="00573D32" w:rsidRDefault="0062409B" w:rsidP="00F10D2C">
            <w:pPr>
              <w:jc w:val="center"/>
              <w:rPr>
                <w:rFonts w:ascii="Arial" w:hAnsi="Arial" w:cs="Arial"/>
                <w:sz w:val="24"/>
                <w:szCs w:val="24"/>
              </w:rPr>
            </w:pPr>
            <w:r>
              <w:rPr>
                <w:rFonts w:ascii="Arial" w:hAnsi="Arial" w:cs="Arial"/>
                <w:sz w:val="24"/>
                <w:szCs w:val="24"/>
              </w:rPr>
              <w:t>53</w:t>
            </w:r>
            <w:r w:rsidR="00956BEE">
              <w:rPr>
                <w:rFonts w:ascii="Arial" w:hAnsi="Arial" w:cs="Arial"/>
                <w:sz w:val="24"/>
                <w:szCs w:val="24"/>
              </w:rPr>
              <w:t>%</w:t>
            </w:r>
          </w:p>
        </w:tc>
        <w:tc>
          <w:tcPr>
            <w:tcW w:w="1502" w:type="dxa"/>
          </w:tcPr>
          <w:p w:rsidR="00956BEE" w:rsidRPr="00573D32" w:rsidRDefault="0062409B" w:rsidP="00F10D2C">
            <w:pPr>
              <w:jc w:val="center"/>
              <w:rPr>
                <w:rFonts w:ascii="Arial" w:hAnsi="Arial" w:cs="Arial"/>
                <w:sz w:val="24"/>
                <w:szCs w:val="24"/>
              </w:rPr>
            </w:pPr>
            <w:r>
              <w:rPr>
                <w:rFonts w:ascii="Arial" w:hAnsi="Arial" w:cs="Arial"/>
                <w:sz w:val="24"/>
                <w:szCs w:val="24"/>
              </w:rPr>
              <w:t>16</w:t>
            </w:r>
            <w:r w:rsidR="00956BEE">
              <w:rPr>
                <w:rFonts w:ascii="Arial" w:hAnsi="Arial" w:cs="Arial"/>
                <w:sz w:val="24"/>
                <w:szCs w:val="24"/>
              </w:rPr>
              <w:t>%</w:t>
            </w:r>
          </w:p>
        </w:tc>
        <w:tc>
          <w:tcPr>
            <w:tcW w:w="1508" w:type="dxa"/>
          </w:tcPr>
          <w:p w:rsidR="00956BEE" w:rsidRPr="00573D32" w:rsidRDefault="0062409B" w:rsidP="00F10D2C">
            <w:pPr>
              <w:jc w:val="center"/>
              <w:rPr>
                <w:rFonts w:ascii="Arial" w:hAnsi="Arial" w:cs="Arial"/>
                <w:sz w:val="24"/>
                <w:szCs w:val="24"/>
              </w:rPr>
            </w:pPr>
            <w:r>
              <w:rPr>
                <w:rFonts w:ascii="Arial" w:hAnsi="Arial" w:cs="Arial"/>
                <w:sz w:val="24"/>
                <w:szCs w:val="24"/>
              </w:rPr>
              <w:t>32</w:t>
            </w:r>
            <w:r w:rsidR="00956BEE">
              <w:rPr>
                <w:rFonts w:ascii="Arial" w:hAnsi="Arial" w:cs="Arial"/>
                <w:sz w:val="24"/>
                <w:szCs w:val="24"/>
              </w:rPr>
              <w:t>%</w:t>
            </w:r>
          </w:p>
        </w:tc>
        <w:tc>
          <w:tcPr>
            <w:tcW w:w="6634" w:type="dxa"/>
          </w:tcPr>
          <w:p w:rsidR="00956BEE" w:rsidRPr="00573D32" w:rsidRDefault="00D0191D" w:rsidP="00D0191D">
            <w:pPr>
              <w:rPr>
                <w:rFonts w:ascii="Arial" w:hAnsi="Arial" w:cs="Arial"/>
                <w:sz w:val="24"/>
                <w:szCs w:val="24"/>
              </w:rPr>
            </w:pPr>
            <w:r>
              <w:rPr>
                <w:rFonts w:ascii="Arial" w:hAnsi="Arial" w:cs="Arial"/>
                <w:sz w:val="24"/>
                <w:szCs w:val="24"/>
              </w:rPr>
              <w:t>Those in favour of the proposal indicated this was because the special educational needs unit would promote and enhance inclusive practice which was seen to be of benefit to the whole school population. Other reasons given for supporting the proposal were that it would increase the options available to families in the local area and would provide the support needed to more children. Those not in agreement with the proposal raised concerns</w:t>
            </w:r>
            <w:r w:rsidR="00956BEE">
              <w:rPr>
                <w:rFonts w:ascii="Arial" w:hAnsi="Arial" w:cs="Arial"/>
                <w:sz w:val="24"/>
                <w:szCs w:val="24"/>
              </w:rPr>
              <w:t xml:space="preserve"> about the potential impact on their child because </w:t>
            </w:r>
            <w:r>
              <w:rPr>
                <w:rFonts w:ascii="Arial" w:hAnsi="Arial" w:cs="Arial"/>
                <w:sz w:val="24"/>
                <w:szCs w:val="24"/>
              </w:rPr>
              <w:t>the</w:t>
            </w:r>
            <w:r w:rsidR="00956BEE">
              <w:rPr>
                <w:rFonts w:ascii="Arial" w:hAnsi="Arial" w:cs="Arial"/>
                <w:sz w:val="24"/>
                <w:szCs w:val="24"/>
              </w:rPr>
              <w:t xml:space="preserve"> unit would be for children with social, emotional and mental health needs. Another concern that was raised </w:t>
            </w:r>
            <w:r>
              <w:rPr>
                <w:rFonts w:ascii="Arial" w:hAnsi="Arial" w:cs="Arial"/>
                <w:sz w:val="24"/>
                <w:szCs w:val="24"/>
              </w:rPr>
              <w:t>related to</w:t>
            </w:r>
            <w:r w:rsidR="00956BEE">
              <w:rPr>
                <w:rFonts w:ascii="Arial" w:hAnsi="Arial" w:cs="Arial"/>
                <w:sz w:val="24"/>
                <w:szCs w:val="24"/>
              </w:rPr>
              <w:t xml:space="preserve"> the amount of movement </w:t>
            </w:r>
            <w:r>
              <w:rPr>
                <w:rFonts w:ascii="Arial" w:hAnsi="Arial" w:cs="Arial"/>
                <w:sz w:val="24"/>
                <w:szCs w:val="24"/>
              </w:rPr>
              <w:t xml:space="preserve">in a school </w:t>
            </w:r>
            <w:r w:rsidR="00956BEE">
              <w:rPr>
                <w:rFonts w:ascii="Arial" w:hAnsi="Arial" w:cs="Arial"/>
                <w:sz w:val="24"/>
                <w:szCs w:val="24"/>
              </w:rPr>
              <w:t xml:space="preserve">where there is perhaps more transition </w:t>
            </w:r>
            <w:r>
              <w:rPr>
                <w:rFonts w:ascii="Arial" w:hAnsi="Arial" w:cs="Arial"/>
                <w:sz w:val="24"/>
                <w:szCs w:val="24"/>
              </w:rPr>
              <w:t xml:space="preserve">than in most schools </w:t>
            </w:r>
            <w:r w:rsidR="00956BEE">
              <w:rPr>
                <w:rFonts w:ascii="Arial" w:hAnsi="Arial" w:cs="Arial"/>
                <w:sz w:val="24"/>
                <w:szCs w:val="24"/>
              </w:rPr>
              <w:t>due</w:t>
            </w:r>
            <w:r w:rsidR="009775B9">
              <w:rPr>
                <w:rFonts w:ascii="Arial" w:hAnsi="Arial" w:cs="Arial"/>
                <w:sz w:val="24"/>
                <w:szCs w:val="24"/>
              </w:rPr>
              <w:t xml:space="preserve"> to changes in military posting</w:t>
            </w:r>
            <w:r w:rsidR="00726D59">
              <w:rPr>
                <w:rFonts w:ascii="Arial" w:hAnsi="Arial" w:cs="Arial"/>
                <w:sz w:val="24"/>
                <w:szCs w:val="24"/>
              </w:rPr>
              <w:t>s</w:t>
            </w:r>
            <w:r w:rsidR="009775B9">
              <w:rPr>
                <w:rFonts w:ascii="Arial" w:hAnsi="Arial" w:cs="Arial"/>
                <w:sz w:val="24"/>
                <w:szCs w:val="24"/>
              </w:rPr>
              <w:t>. 61</w:t>
            </w:r>
            <w:r w:rsidR="00956BEE">
              <w:rPr>
                <w:rFonts w:ascii="Arial" w:hAnsi="Arial" w:cs="Arial"/>
                <w:sz w:val="24"/>
                <w:szCs w:val="24"/>
              </w:rPr>
              <w:t xml:space="preserve">% of respondents had children </w:t>
            </w:r>
            <w:r w:rsidR="009775B9">
              <w:rPr>
                <w:rFonts w:ascii="Arial" w:hAnsi="Arial" w:cs="Arial"/>
                <w:sz w:val="24"/>
                <w:szCs w:val="24"/>
              </w:rPr>
              <w:t xml:space="preserve">already </w:t>
            </w:r>
            <w:r w:rsidR="009775B9">
              <w:rPr>
                <w:rFonts w:ascii="Arial" w:hAnsi="Arial" w:cs="Arial"/>
                <w:sz w:val="24"/>
                <w:szCs w:val="24"/>
              </w:rPr>
              <w:lastRenderedPageBreak/>
              <w:t>attending the school. 70</w:t>
            </w:r>
            <w:r w:rsidR="00956BEE">
              <w:rPr>
                <w:rFonts w:ascii="Arial" w:hAnsi="Arial" w:cs="Arial"/>
                <w:sz w:val="24"/>
                <w:szCs w:val="24"/>
              </w:rPr>
              <w:t xml:space="preserve">% of respondents did not identify themselves as having children with special needs. </w:t>
            </w:r>
          </w:p>
        </w:tc>
      </w:tr>
    </w:tbl>
    <w:p w:rsidR="008B4B69" w:rsidRDefault="008B4B69" w:rsidP="00E47F16"/>
    <w:sectPr w:rsidR="008B4B69" w:rsidSect="00956BEE">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D5" w:rsidRDefault="00E81DD5" w:rsidP="00E81DD5">
      <w:pPr>
        <w:spacing w:after="0" w:line="240" w:lineRule="auto"/>
      </w:pPr>
      <w:r>
        <w:separator/>
      </w:r>
    </w:p>
  </w:endnote>
  <w:endnote w:type="continuationSeparator" w:id="0">
    <w:p w:rsidR="00E81DD5" w:rsidRDefault="00E81DD5" w:rsidP="00E8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D5" w:rsidRDefault="00E81DD5" w:rsidP="00E81DD5">
      <w:pPr>
        <w:spacing w:after="0" w:line="240" w:lineRule="auto"/>
      </w:pPr>
      <w:r>
        <w:separator/>
      </w:r>
    </w:p>
  </w:footnote>
  <w:footnote w:type="continuationSeparator" w:id="0">
    <w:p w:rsidR="00E81DD5" w:rsidRDefault="00E81DD5" w:rsidP="00E8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634E1"/>
    <w:multiLevelType w:val="hybridMultilevel"/>
    <w:tmpl w:val="CA3A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F6C"/>
    <w:multiLevelType w:val="hybridMultilevel"/>
    <w:tmpl w:val="2DD6BD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F5"/>
    <w:rsid w:val="0004157C"/>
    <w:rsid w:val="00055D76"/>
    <w:rsid w:val="000D1ECB"/>
    <w:rsid w:val="00174096"/>
    <w:rsid w:val="001C2B42"/>
    <w:rsid w:val="002039CE"/>
    <w:rsid w:val="00214C6E"/>
    <w:rsid w:val="002C0D89"/>
    <w:rsid w:val="002D2085"/>
    <w:rsid w:val="002D6C0C"/>
    <w:rsid w:val="002E1E0F"/>
    <w:rsid w:val="002F7191"/>
    <w:rsid w:val="003171B0"/>
    <w:rsid w:val="003B289D"/>
    <w:rsid w:val="00400F76"/>
    <w:rsid w:val="00412680"/>
    <w:rsid w:val="00427401"/>
    <w:rsid w:val="00494F43"/>
    <w:rsid w:val="004B512F"/>
    <w:rsid w:val="004B5D81"/>
    <w:rsid w:val="0053534A"/>
    <w:rsid w:val="005400AC"/>
    <w:rsid w:val="00566D72"/>
    <w:rsid w:val="0062409B"/>
    <w:rsid w:val="00627427"/>
    <w:rsid w:val="006B482D"/>
    <w:rsid w:val="00726D59"/>
    <w:rsid w:val="00765784"/>
    <w:rsid w:val="007B5070"/>
    <w:rsid w:val="007E7547"/>
    <w:rsid w:val="007F0595"/>
    <w:rsid w:val="0089410A"/>
    <w:rsid w:val="008B4B69"/>
    <w:rsid w:val="008F65DF"/>
    <w:rsid w:val="00927ED7"/>
    <w:rsid w:val="00956BEE"/>
    <w:rsid w:val="009775B9"/>
    <w:rsid w:val="009B5474"/>
    <w:rsid w:val="009B7EEC"/>
    <w:rsid w:val="009D2221"/>
    <w:rsid w:val="009D2C73"/>
    <w:rsid w:val="009F21AB"/>
    <w:rsid w:val="00A565A8"/>
    <w:rsid w:val="00A76E90"/>
    <w:rsid w:val="00A7718E"/>
    <w:rsid w:val="00B8418D"/>
    <w:rsid w:val="00BC2746"/>
    <w:rsid w:val="00BC4121"/>
    <w:rsid w:val="00C372DC"/>
    <w:rsid w:val="00CD5377"/>
    <w:rsid w:val="00D0191D"/>
    <w:rsid w:val="00DF52CA"/>
    <w:rsid w:val="00E474C4"/>
    <w:rsid w:val="00E47F16"/>
    <w:rsid w:val="00E65BB2"/>
    <w:rsid w:val="00E745CD"/>
    <w:rsid w:val="00E75BB3"/>
    <w:rsid w:val="00E81DD5"/>
    <w:rsid w:val="00F57BF5"/>
    <w:rsid w:val="00FD6A56"/>
    <w:rsid w:val="00FF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3303"/>
  <w15:chartTrackingRefBased/>
  <w15:docId w15:val="{76402417-D70B-4C8E-8603-80F5FB13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37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94F43"/>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7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94F43"/>
    <w:rPr>
      <w:rFonts w:asciiTheme="majorHAnsi" w:eastAsiaTheme="majorEastAsia" w:hAnsiTheme="majorHAnsi" w:cstheme="majorBidi"/>
      <w:b/>
      <w:sz w:val="26"/>
      <w:szCs w:val="26"/>
    </w:rPr>
  </w:style>
  <w:style w:type="paragraph" w:styleId="ListParagraph">
    <w:name w:val="List Paragraph"/>
    <w:basedOn w:val="Normal"/>
    <w:uiPriority w:val="34"/>
    <w:qFormat/>
    <w:rsid w:val="00C372DC"/>
    <w:pPr>
      <w:ind w:left="720"/>
      <w:contextualSpacing/>
    </w:pPr>
  </w:style>
  <w:style w:type="table" w:styleId="TableGrid">
    <w:name w:val="Table Grid"/>
    <w:basedOn w:val="TableNormal"/>
    <w:uiPriority w:val="39"/>
    <w:rsid w:val="0095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1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DD5"/>
    <w:rPr>
      <w:sz w:val="20"/>
      <w:szCs w:val="20"/>
    </w:rPr>
  </w:style>
  <w:style w:type="character" w:styleId="FootnoteReference">
    <w:name w:val="footnote reference"/>
    <w:basedOn w:val="DefaultParagraphFont"/>
    <w:uiPriority w:val="99"/>
    <w:semiHidden/>
    <w:unhideWhenUsed/>
    <w:rsid w:val="00E81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8FC1-0313-4893-8CF9-26EB21B0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Sally</dc:creator>
  <cp:keywords/>
  <dc:description/>
  <cp:lastModifiedBy>Richardson, Sally</cp:lastModifiedBy>
  <cp:revision>11</cp:revision>
  <dcterms:created xsi:type="dcterms:W3CDTF">2020-09-20T16:21:00Z</dcterms:created>
  <dcterms:modified xsi:type="dcterms:W3CDTF">2020-09-21T14:20:00Z</dcterms:modified>
</cp:coreProperties>
</file>